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2305031</w:t>
      </w:r>
      <w:bookmarkStart w:id="1" w:name="_GoBack"/>
      <w:bookmarkEnd w:id="1"/>
    </w:p>
    <w:p>
      <w:pPr>
        <w:tabs>
          <w:tab w:val="left" w:pos="3106"/>
          <w:tab w:val="center" w:pos="4536"/>
          <w:tab w:val="right" w:pos="9072"/>
        </w:tabs>
        <w:jc w:val="both"/>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5.27.5</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ascii="Times New Roman" w:hAnsi="Times New Roman" w:eastAsia="宋体" w:cs="Times New Roman"/>
          <w:sz w:val="22"/>
          <w:lang w:val="en-US" w:eastAsia="zh-CN"/>
        </w:rPr>
      </w:pPr>
      <w:r>
        <w:rPr>
          <w:rFonts w:hint="eastAsia" w:eastAsia="宋体"/>
          <w:color w:val="000000"/>
          <w:sz w:val="22"/>
          <w:szCs w:val="22"/>
          <w:lang w:val="en-US" w:eastAsia="zh-CN"/>
        </w:rPr>
        <w:t xml:space="preserve"> </w:t>
      </w:r>
      <w:r>
        <w:rPr>
          <w:color w:val="000000"/>
          <w:sz w:val="22"/>
          <w:szCs w:val="22"/>
          <w:lang w:val="en-US"/>
        </w:rPr>
        <w:t>At RAN 9</w:t>
      </w:r>
      <w:r>
        <w:rPr>
          <w:rFonts w:hint="eastAsia" w:eastAsia="宋体"/>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t>
      </w:r>
      <w:r>
        <w:rPr>
          <w:rFonts w:hint="eastAsia" w:eastAsia="宋体" w:cs="Times New Roman"/>
          <w:sz w:val="22"/>
          <w:lang w:val="en-US" w:eastAsia="zh-CN"/>
        </w:rPr>
        <w:t>we only discussed the LS from RAN2 related to RACH-less</w:t>
      </w:r>
      <w:r>
        <w:rPr>
          <w:rFonts w:hint="eastAsia" w:ascii="Times New Roman" w:hAnsi="Times New Roman" w:eastAsia="宋体" w:cs="Times New Roman"/>
          <w:sz w:val="22"/>
          <w:lang w:val="en-US" w:eastAsia="zh-CN"/>
        </w:rPr>
        <w:t>,</w:t>
      </w:r>
      <w:r>
        <w:rPr>
          <w:rFonts w:hint="eastAsia" w:eastAsia="宋体" w:cs="Times New Roman"/>
          <w:sz w:val="22"/>
          <w:lang w:val="en-US" w:eastAsia="zh-CN"/>
        </w:rPr>
        <w:t xml:space="preserve"> as for several objectives have not been discussed and in #106bis_e meeting we will specify the scenarios and general view on the topics, what we discussed before</w:t>
      </w:r>
      <w:r>
        <w:rPr>
          <w:rFonts w:hint="eastAsia" w:ascii="Times New Roman" w:hAnsi="Times New Roman" w:eastAsia="宋体" w:cs="Times New Roman"/>
          <w:sz w:val="22"/>
          <w:lang w:val="en-US" w:eastAsia="zh-CN"/>
        </w:rPr>
        <w:t xml:space="preserve">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6"/>
        <w:rPr>
          <w:lang w:val="en-US"/>
        </w:rPr>
      </w:pPr>
      <w:r>
        <w:rPr>
          <w:lang w:val="en-US"/>
        </w:rPr>
        <w:t>Discussion</w:t>
      </w:r>
    </w:p>
    <w:p>
      <w:pPr>
        <w:rPr>
          <w:rFonts w:hint="default"/>
          <w:lang w:val="en-US" w:eastAsia="zh-CN"/>
        </w:rPr>
      </w:pPr>
      <w:r>
        <w:rPr>
          <w:rFonts w:hint="eastAsia"/>
          <w:lang w:val="en-US" w:eastAsia="zh-CN"/>
        </w:rPr>
        <w:t>The objectives of Rel-18 NTN enhancement are described in [1] including:  wording注意</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jc w:val="left"/>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4.1.1</w:t>
            </w:r>
            <w:r>
              <w:rPr>
                <w:rFonts w:ascii="Times New Roman" w:hAnsi="Times New Roman" w:eastAsia="宋体" w:cs="Times New Roman"/>
                <w:bCs/>
                <w:kern w:val="0"/>
                <w:sz w:val="20"/>
                <w:szCs w:val="20"/>
              </w:rPr>
              <w:tab/>
            </w:r>
            <w:r>
              <w:rPr>
                <w:rFonts w:ascii="Times New Roman" w:hAnsi="Times New Roman" w:eastAsia="宋体" w:cs="Times New Roman"/>
                <w:bCs/>
                <w:kern w:val="0"/>
                <w:sz w:val="20"/>
                <w:szCs w:val="20"/>
              </w:rPr>
              <w:t>Coverage enhancement</w:t>
            </w:r>
          </w:p>
          <w:p>
            <w:pPr>
              <w:spacing w:before="120" w:beforeLines="50" w:after="120" w:afterLines="50"/>
              <w:jc w:val="left"/>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4.1.2</w:t>
            </w:r>
            <w:r>
              <w:rPr>
                <w:rFonts w:ascii="Times New Roman" w:hAnsi="Times New Roman" w:eastAsia="宋体" w:cs="Times New Roman"/>
                <w:bCs/>
                <w:kern w:val="0"/>
                <w:sz w:val="20"/>
                <w:szCs w:val="20"/>
              </w:rPr>
              <w:tab/>
            </w:r>
            <w:r>
              <w:rPr>
                <w:rFonts w:ascii="Times New Roman" w:hAnsi="Times New Roman" w:eastAsia="宋体" w:cs="Times New Roman"/>
                <w:bCs/>
                <w:kern w:val="0"/>
                <w:sz w:val="20"/>
                <w:szCs w:val="20"/>
              </w:rPr>
              <w:t>NR-NTN deployment in above 10 GHz bands</w:t>
            </w:r>
          </w:p>
          <w:p>
            <w:pPr>
              <w:spacing w:before="120" w:beforeLines="50" w:after="120" w:afterLines="50"/>
              <w:jc w:val="left"/>
              <w:rPr>
                <w:rFonts w:ascii="Times New Roman" w:hAnsi="Times New Roman" w:eastAsia="宋体" w:cs="Times New Roman"/>
                <w:kern w:val="0"/>
                <w:sz w:val="20"/>
                <w:szCs w:val="20"/>
              </w:rPr>
            </w:pPr>
            <w:r>
              <w:rPr>
                <w:rFonts w:ascii="Times New Roman" w:hAnsi="Times New Roman" w:eastAsia="宋体" w:cs="Times New Roman"/>
                <w:bCs/>
                <w:kern w:val="0"/>
                <w:sz w:val="20"/>
                <w:szCs w:val="20"/>
              </w:rPr>
              <w:t>4.1.</w:t>
            </w:r>
            <w:r>
              <w:rPr>
                <w:rFonts w:hint="eastAsia" w:eastAsia="宋体" w:cs="Times New Roman"/>
                <w:bCs/>
                <w:kern w:val="0"/>
                <w:sz w:val="20"/>
                <w:szCs w:val="20"/>
                <w:lang w:val="en-US" w:eastAsia="zh-CN"/>
              </w:rPr>
              <w:t>3</w:t>
            </w:r>
            <w:r>
              <w:rPr>
                <w:rFonts w:ascii="Times New Roman" w:hAnsi="Times New Roman" w:eastAsia="宋体" w:cs="Times New Roman"/>
                <w:bCs/>
                <w:kern w:val="0"/>
                <w:sz w:val="20"/>
                <w:szCs w:val="20"/>
              </w:rPr>
              <w:tab/>
            </w:r>
            <w:r>
              <w:rPr>
                <w:rFonts w:ascii="Times New Roman" w:hAnsi="Times New Roman" w:eastAsia="宋体" w:cs="Times New Roman"/>
                <w:bCs/>
                <w:kern w:val="0"/>
                <w:sz w:val="20"/>
                <w:szCs w:val="20"/>
              </w:rPr>
              <w:t>NTN-TN and NTN-NTN mobility and service continuity enhancements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this meeting, we will discuss the scenarios and express our views on potential impact to RRM requirements towards the above objectives. The objectives are divided into four aspects:</w:t>
      </w:r>
    </w:p>
    <w:p>
      <w:pPr>
        <w:pStyle w:val="78"/>
        <w:numPr>
          <w:ilvl w:val="1"/>
          <w:numId w:val="0"/>
        </w:numPr>
        <w:bidi w:val="0"/>
        <w:rPr>
          <w:rFonts w:hint="default"/>
          <w:lang w:val="en-US" w:eastAsia="zh-CN"/>
        </w:rPr>
      </w:pPr>
      <w:r>
        <w:rPr>
          <w:rFonts w:hint="eastAsia"/>
          <w:lang w:val="en-US" w:eastAsia="zh-CN"/>
        </w:rPr>
        <w:t>2.1 Coverage enhancement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after="0"/>
              <w:rPr>
                <w:rFonts w:hint="default" w:eastAsiaTheme="minorEastAsia"/>
                <w:bCs/>
                <w:lang w:val="en-US" w:eastAsia="zh-CN"/>
              </w:rPr>
            </w:pPr>
            <w:r>
              <w:rPr>
                <w:bCs/>
              </w:rPr>
              <w:t xml:space="preserve">The Rel-18 NTN objectives are focused on the applicability of the solutions developed by general NR coverage enhancement to NTN, and identifying potential issues and enhancements if necessary, considering the NTN characteristics including </w:t>
            </w:r>
            <w:r>
              <w:rPr>
                <w:bCs/>
                <w:highlight w:val="yellow"/>
                <w:u w:val="single"/>
              </w:rPr>
              <w:t xml:space="preserve">large propagation delay </w:t>
            </w:r>
            <w:r>
              <w:rPr>
                <w:bCs/>
              </w:rPr>
              <w:t xml:space="preserve">and </w:t>
            </w:r>
            <w:r>
              <w:rPr>
                <w:bCs/>
                <w:highlight w:val="yellow"/>
              </w:rPr>
              <w:t>satellite movement.</w:t>
            </w:r>
            <w:r>
              <w:rPr>
                <w:bCs/>
              </w:rPr>
              <w:t xml:space="preserve"> </w:t>
            </w:r>
            <w:r>
              <w:rPr>
                <w:rFonts w:hint="eastAsia"/>
                <w:bCs/>
                <w:lang w:val="en-US" w:eastAsia="zh-CN"/>
              </w:rPr>
              <w:t xml:space="preserve"> </w:t>
            </w:r>
            <w:r>
              <w:rPr>
                <w:bCs/>
                <w:highlight w:val="cyan"/>
              </w:rPr>
              <w:t>Only NTN-specific</w:t>
            </w:r>
            <w:r>
              <w:rPr>
                <w:bCs/>
              </w:rPr>
              <w:t xml:space="preserve"> characteristics are to be included in this coverage enhancement work, otherwise it should be part of another WI (e.g., UL enhancement of coverage). </w:t>
            </w:r>
          </w:p>
          <w:p>
            <w:pPr>
              <w:spacing w:after="0"/>
              <w:rPr>
                <w:bCs/>
              </w:rPr>
            </w:pPr>
          </w:p>
          <w:p>
            <w:pPr>
              <w:spacing w:after="0"/>
              <w:rPr>
                <w:bCs/>
              </w:rPr>
            </w:pPr>
            <w:r>
              <w:rPr>
                <w:bCs/>
              </w:rPr>
              <w:t>The following sentence will be revisited in RAN#99 as part of the DL enhancements discussion:</w:t>
            </w:r>
          </w:p>
          <w:p>
            <w:pPr>
              <w:spacing w:after="0"/>
              <w:rPr>
                <w:bCs/>
              </w:rPr>
            </w:pPr>
            <w:r>
              <w:rPr>
                <w:bCs/>
              </w:rPr>
              <w:t>“The evaluation should also take into account any related regulatory requirements, e.g., ITU limitation of power flux density.” No work on this topic will take place in RAN WGs before the discussion on DL enhancements in RAN#99.</w:t>
            </w:r>
          </w:p>
          <w:p>
            <w:pPr>
              <w:spacing w:after="0"/>
              <w:rPr>
                <w:bCs/>
              </w:rPr>
            </w:pPr>
          </w:p>
          <w:p>
            <w:pPr>
              <w:spacing w:after="0"/>
              <w:rPr>
                <w:bCs/>
              </w:rPr>
            </w:pPr>
            <w:r>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pPr>
              <w:pStyle w:val="40"/>
            </w:pPr>
            <w:r>
              <w:t>Note:</w:t>
            </w:r>
            <w:r>
              <w:rPr>
                <w:highlight w:val="yellow"/>
              </w:rPr>
              <w:t xml:space="preserve"> It is understood that the enhancements defined for LEO can also apply to GEO and MEO scenarios as appropriate.</w:t>
            </w:r>
            <w:r>
              <w:t xml:space="preserve"> No additional work is expected for MEO/GEO.</w:t>
            </w:r>
          </w:p>
          <w:p>
            <w:pPr>
              <w:spacing w:after="0"/>
              <w:rPr>
                <w:bCs/>
              </w:rPr>
            </w:pPr>
            <w:r>
              <w:rPr>
                <w:bCs/>
              </w:rPr>
              <w:t>The targeted services are VoIP using AMR 4.75 kbps and data transmission services with Low data rate of 3 kbps.</w:t>
            </w:r>
          </w:p>
          <w:p>
            <w:pPr>
              <w:spacing w:after="0"/>
              <w:rPr>
                <w:bCs/>
              </w:rPr>
            </w:pPr>
          </w:p>
          <w:p>
            <w:pPr>
              <w:spacing w:after="0"/>
              <w:rPr>
                <w:bCs/>
              </w:rPr>
            </w:pPr>
          </w:p>
          <w:p>
            <w:pPr>
              <w:spacing w:after="0"/>
              <w:rPr>
                <w:bCs/>
              </w:rPr>
            </w:pPr>
            <w:r>
              <w:rPr>
                <w:bCs/>
              </w:rPr>
              <w:t xml:space="preserve"> The detailed objectives are for NTN:</w:t>
            </w:r>
          </w:p>
          <w:p>
            <w:pPr>
              <w:numPr>
                <w:ilvl w:val="0"/>
                <w:numId w:val="3"/>
              </w:numPr>
              <w:spacing w:after="0"/>
              <w:rPr>
                <w:bCs/>
                <w:highlight w:val="yellow"/>
              </w:rPr>
            </w:pPr>
            <w:r>
              <w:rPr>
                <w:bCs/>
                <w:highlight w:val="yellow"/>
              </w:rPr>
              <w:t>To specify PUCCH enhancements for Msg4 HARQ-ACK (e.g. repetition) [RAN1, RAN4]</w:t>
            </w:r>
          </w:p>
          <w:p>
            <w:pPr>
              <w:numPr>
                <w:ilvl w:val="0"/>
                <w:numId w:val="3"/>
              </w:numPr>
              <w:spacing w:after="0"/>
              <w:rPr>
                <w:rFonts w:ascii="Times New Roman" w:hAnsi="Times New Roman" w:eastAsia="宋体" w:cs="Times New Roman"/>
                <w:kern w:val="0"/>
                <w:sz w:val="20"/>
                <w:szCs w:val="20"/>
              </w:rPr>
            </w:pPr>
            <w:r>
              <w:rPr>
                <w:bCs/>
              </w:rPr>
              <w:t>To specify if necessary, enhancements to the Rel-17 procedures for DMRS bundling for PUSCH taking into account NTN-specifics (e.g. time-frequency pre-compensation) [RAN1]</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This topic is still under discussion in RAN1/RAN2 and there is no effective progress, so it is not proper for RAN4 to define and study the RRM requirements. We shall wait for the substantive progress from RAN1/RAN2.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ascii="Times New Roman" w:hAnsi="Times New Roman" w:eastAsia="等线" w:cs="Times New Roman"/>
          <w:b/>
          <w:bCs/>
          <w:color w:val="000000"/>
          <w:kern w:val="2"/>
          <w:sz w:val="22"/>
          <w:szCs w:val="22"/>
          <w:lang w:val="en-US" w:eastAsia="zh-CN" w:bidi="ar-SA"/>
        </w:rPr>
      </w:pPr>
      <w:r>
        <w:rPr>
          <w:rFonts w:hint="eastAsia" w:ascii="Times New Roman" w:hAnsi="Times New Roman" w:eastAsia="等线" w:cs="Times New Roman"/>
          <w:b/>
          <w:bCs/>
          <w:color w:val="000000"/>
          <w:kern w:val="2"/>
          <w:sz w:val="22"/>
          <w:szCs w:val="22"/>
          <w:lang w:val="en-US" w:eastAsia="zh-CN" w:bidi="ar-SA"/>
        </w:rPr>
        <w:t>Proposal 1: RAN4 shall wait for the substantive progress from RAN1/RAN2.</w:t>
      </w:r>
    </w:p>
    <w:p>
      <w:pPr>
        <w:pStyle w:val="78"/>
        <w:numPr>
          <w:ilvl w:val="1"/>
          <w:numId w:val="0"/>
        </w:numPr>
        <w:bidi w:val="0"/>
        <w:rPr>
          <w:rFonts w:hint="eastAsia"/>
          <w:lang w:val="en-US" w:eastAsia="zh-CN"/>
        </w:rPr>
      </w:pPr>
    </w:p>
    <w:p>
      <w:pPr>
        <w:pStyle w:val="78"/>
        <w:numPr>
          <w:ilvl w:val="1"/>
          <w:numId w:val="0"/>
        </w:numPr>
        <w:bidi w:val="0"/>
        <w:rPr>
          <w:rFonts w:hint="default"/>
          <w:lang w:val="en-US" w:eastAsia="zh-CN"/>
        </w:rPr>
      </w:pPr>
      <w:r>
        <w:rPr>
          <w:rFonts w:hint="eastAsia"/>
          <w:lang w:val="en-US" w:eastAsia="zh-CN"/>
        </w:rPr>
        <w:t>2.2 NR-NTN deployment in above 10 GHz bands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after="0"/>
              <w:rPr>
                <w:bCs/>
              </w:rPr>
            </w:pPr>
            <w:r>
              <w:rPr>
                <w:bCs/>
              </w:rPr>
              <w:t>The following assumptions are</w:t>
            </w:r>
            <w:r>
              <w:rPr>
                <w:bCs/>
                <w:highlight w:val="cyan"/>
              </w:rPr>
              <w:t xml:space="preserve"> taken a baseline</w:t>
            </w:r>
            <w:r>
              <w:rPr>
                <w:bCs/>
              </w:rPr>
              <w:t xml:space="preserve"> for this work:</w:t>
            </w:r>
          </w:p>
          <w:p>
            <w:pPr>
              <w:numPr>
                <w:ilvl w:val="0"/>
                <w:numId w:val="4"/>
              </w:numPr>
              <w:spacing w:after="0"/>
              <w:rPr>
                <w:bCs/>
              </w:rPr>
            </w:pPr>
            <w:r>
              <w:rPr>
                <w:bCs/>
              </w:rPr>
              <w:t>GSO and NGSO (e.g. LEO, MEO, HEO) based satellite access to be considered</w:t>
            </w:r>
          </w:p>
          <w:p>
            <w:pPr>
              <w:numPr>
                <w:ilvl w:val="1"/>
                <w:numId w:val="4"/>
              </w:numPr>
              <w:spacing w:after="0"/>
              <w:rPr>
                <w:bCs/>
              </w:rPr>
            </w:pPr>
            <w:r>
              <w:rPr>
                <w:bCs/>
              </w:rPr>
              <w:t xml:space="preserve">ESIM scenarios for NGSO in Ka band are not considered in this WI. </w:t>
            </w:r>
          </w:p>
          <w:p>
            <w:pPr>
              <w:numPr>
                <w:ilvl w:val="0"/>
                <w:numId w:val="4"/>
              </w:numPr>
              <w:spacing w:after="0"/>
              <w:rPr>
                <w:bCs/>
              </w:rPr>
            </w:pPr>
            <w:r>
              <w:rPr>
                <w:bCs/>
              </w:rPr>
              <w:t>Targeted UE types: fixed and mobile VSAT. VSAT UE characteristics from TR38.821 to be considered in priority but additional NTN UE classes may be considered if justified</w:t>
            </w:r>
          </w:p>
          <w:p>
            <w:pPr>
              <w:numPr>
                <w:ilvl w:val="1"/>
                <w:numId w:val="4"/>
              </w:numPr>
              <w:spacing w:after="0"/>
              <w:rPr>
                <w:bCs/>
              </w:rPr>
            </w:pPr>
            <w:r>
              <w:rPr>
                <w:bCs/>
              </w:rPr>
              <w:t>Regarding mobile VSAT, three types of terminal and scenario exist; airborne, maritime and land based ESIM.</w:t>
            </w:r>
            <w:r>
              <w:t xml:space="preserve"> </w:t>
            </w:r>
            <w:r>
              <w:rPr>
                <w:bCs/>
              </w:rPr>
              <w:t>Which type(s) to be specified depends on the outcome of the regulation analysis and co-existence study.</w:t>
            </w:r>
          </w:p>
          <w:p>
            <w:pPr>
              <w:numPr>
                <w:ilvl w:val="0"/>
                <w:numId w:val="4"/>
              </w:numPr>
              <w:spacing w:after="0"/>
              <w:rPr>
                <w:bCs/>
              </w:rPr>
            </w:pPr>
            <w:r>
              <w:rPr>
                <w:bCs/>
              </w:rPr>
              <w:t>FDD mode is assumed for satellite operation above 10 GHz, while TDD mode is assumed for terrestrial operation in FR2</w:t>
            </w:r>
          </w:p>
          <w:p>
            <w:pPr>
              <w:numPr>
                <w:ilvl w:val="0"/>
                <w:numId w:val="4"/>
              </w:numPr>
              <w:spacing w:after="0"/>
              <w:rPr>
                <w:bCs/>
              </w:rPr>
            </w:pPr>
            <w:r>
              <w:rPr>
                <w:bCs/>
              </w:rPr>
              <w:t>The ITU-R harmonized Ka band will serve as reference</w:t>
            </w:r>
          </w:p>
          <w:p>
            <w:pPr>
              <w:numPr>
                <w:ilvl w:val="0"/>
                <w:numId w:val="4"/>
              </w:numPr>
              <w:spacing w:after="0"/>
              <w:rPr>
                <w:bCs/>
              </w:rPr>
            </w:pPr>
            <w:r>
              <w:rPr>
                <w:bCs/>
                <w:highlight w:val="cyan"/>
              </w:rPr>
              <w:t>Co-existence between overlapping NTN and TN band portions is out of scope of this work item</w:t>
            </w:r>
            <w:r>
              <w:rPr>
                <w:bCs/>
              </w:rPr>
              <w:t>. This aspect will be captured in the specification.</w:t>
            </w:r>
          </w:p>
          <w:p>
            <w:pPr>
              <w:spacing w:after="0"/>
              <w:rPr>
                <w:bCs/>
              </w:rPr>
            </w:pPr>
          </w:p>
          <w:p>
            <w:pPr>
              <w:spacing w:after="0"/>
              <w:rPr>
                <w:bCs/>
              </w:rPr>
            </w:pPr>
            <w:r>
              <w:rPr>
                <w:bCs/>
              </w:rPr>
              <w:t>The following covers the objectives for NR-NTN deployment in above 10 GHz bands. This work is expected to start after June 2022.</w:t>
            </w:r>
          </w:p>
          <w:p>
            <w:pPr>
              <w:spacing w:after="0"/>
              <w:rPr>
                <w:bCs/>
              </w:rPr>
            </w:pPr>
          </w:p>
          <w:p>
            <w:pPr>
              <w:numPr>
                <w:ilvl w:val="0"/>
                <w:numId w:val="5"/>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0"/>
                <w:numId w:val="5"/>
              </w:numPr>
              <w:spacing w:after="0"/>
              <w:rPr>
                <w:bCs/>
              </w:rPr>
            </w:pPr>
            <w:r>
              <w:rPr>
                <w:bCs/>
              </w:rPr>
              <w:t>Specify Rx/Tx requirements for satellite access node and different VSAT UE class (not only 60 cm aperture) as appropriate for the identified example band [RAN4]</w:t>
            </w:r>
          </w:p>
          <w:p>
            <w:pPr>
              <w:numPr>
                <w:ilvl w:val="0"/>
                <w:numId w:val="5"/>
              </w:numPr>
              <w:spacing w:after="0"/>
              <w:rPr>
                <w:bCs/>
              </w:rPr>
            </w:pPr>
            <w:r>
              <w:rPr>
                <w:bCs/>
              </w:rPr>
              <w:t>Identify values for physical layer parameters chosen from the existing FR1 and FR2 sets. The following set of parameters to specify, but not necessarily limited to, are listed.as follows [RAN4]:</w:t>
            </w:r>
          </w:p>
          <w:p>
            <w:pPr>
              <w:numPr>
                <w:ilvl w:val="1"/>
                <w:numId w:val="5"/>
              </w:numPr>
              <w:spacing w:after="0"/>
              <w:rPr>
                <w:bCs/>
              </w:rPr>
            </w:pPr>
            <w:r>
              <w:rPr>
                <w:bCs/>
              </w:rPr>
              <w:t>time relationship related enhancement (e.g. K_offset)</w:t>
            </w:r>
          </w:p>
          <w:p>
            <w:pPr>
              <w:numPr>
                <w:ilvl w:val="1"/>
                <w:numId w:val="5"/>
              </w:numPr>
              <w:spacing w:after="0"/>
              <w:rPr>
                <w:bCs/>
              </w:rPr>
            </w:pPr>
            <w:r>
              <w:rPr>
                <w:bCs/>
              </w:rPr>
              <w:t>subcarrier spacing for different UL/DL signals/channels</w:t>
            </w:r>
          </w:p>
          <w:p>
            <w:pPr>
              <w:numPr>
                <w:ilvl w:val="1"/>
                <w:numId w:val="5"/>
              </w:numPr>
              <w:spacing w:after="0"/>
              <w:rPr>
                <w:bCs/>
              </w:rPr>
            </w:pPr>
            <w:r>
              <w:rPr>
                <w:bCs/>
              </w:rPr>
              <w:t>PRACH configuration index for FDD above 10 GHz.</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In </w:t>
      </w:r>
      <w:r>
        <w:rPr>
          <w:rFonts w:hint="eastAsia" w:eastAsia="宋体" w:cs="Times New Roman"/>
          <w:b/>
          <w:bCs/>
          <w:sz w:val="22"/>
          <w:lang w:val="en-US" w:eastAsia="zh-CN"/>
        </w:rPr>
        <w:t>TS38.101-5</w:t>
      </w:r>
      <w:r>
        <w:rPr>
          <w:rFonts w:hint="eastAsia" w:eastAsia="宋体" w:cs="Times New Roman"/>
          <w:sz w:val="22"/>
          <w:lang w:val="en-US" w:eastAsia="zh-CN"/>
        </w:rPr>
        <w:t>, the RF session has been approved  two bands as below:</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default" w:eastAsia="宋体" w:cs="Times New Roman"/>
          <w:b/>
          <w:bCs/>
          <w:sz w:val="22"/>
          <w:lang w:val="en-US" w:eastAsia="zh-CN"/>
        </w:rPr>
      </w:pPr>
      <w:r>
        <w:rPr>
          <w:rFonts w:hint="eastAsia" w:eastAsia="宋体" w:cs="Times New Roman"/>
          <w:b/>
          <w:bCs/>
          <w:sz w:val="22"/>
          <w:lang w:val="en-US" w:eastAsia="zh-CN"/>
        </w:rPr>
        <w:t>Table 5.2.2-1: NTN satellite bands in FR1</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NTN satellite</w:t>
            </w:r>
            <w:r>
              <w:rPr>
                <w:rFonts w:ascii="Arial" w:hAnsi="Arial" w:eastAsia="宋体"/>
                <w:b/>
                <w:sz w:val="18"/>
                <w:lang w:val="en-US" w:eastAsia="zh-CN"/>
              </w:rPr>
              <w:t xml:space="preserve"> operating </w:t>
            </w:r>
            <w:r>
              <w:rPr>
                <w:rFonts w:ascii="Arial" w:hAnsi="Arial" w:eastAsia="宋体"/>
                <w:b/>
                <w:sz w:val="18"/>
                <w:lang w:eastAsia="zh-CN"/>
              </w:rPr>
              <w:t>band</w:t>
            </w:r>
          </w:p>
        </w:tc>
        <w:tc>
          <w:tcPr>
            <w:tcW w:w="3818"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val="en-US" w:eastAsia="zh-CN"/>
              </w:rPr>
            </w:pPr>
            <w:r>
              <w:rPr>
                <w:rFonts w:ascii="Arial" w:hAnsi="Arial" w:eastAsia="宋体"/>
                <w:b/>
                <w:sz w:val="18"/>
                <w:lang w:val="en-US" w:eastAsia="zh-CN"/>
              </w:rPr>
              <w:t>Uplink (UL) operating band</w:t>
            </w:r>
            <w:r>
              <w:rPr>
                <w:rFonts w:ascii="Arial" w:hAnsi="Arial" w:eastAsia="宋体"/>
                <w:b/>
                <w:sz w:val="18"/>
                <w:lang w:val="en-US" w:eastAsia="zh-CN"/>
              </w:rPr>
              <w:br w:type="textWrapping"/>
            </w:r>
            <w:r>
              <w:rPr>
                <w:rFonts w:ascii="Arial" w:hAnsi="Arial" w:eastAsia="宋体"/>
                <w:b/>
                <w:sz w:val="18"/>
                <w:lang w:val="en-US" w:eastAsia="zh-CN"/>
              </w:rPr>
              <w:t>Satellite Access Node receive / UE transmit</w:t>
            </w:r>
          </w:p>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F</w:t>
            </w:r>
            <w:r>
              <w:rPr>
                <w:rFonts w:ascii="Arial" w:hAnsi="Arial" w:eastAsia="宋体"/>
                <w:b/>
                <w:sz w:val="18"/>
                <w:vertAlign w:val="subscript"/>
                <w:lang w:eastAsia="zh-CN"/>
              </w:rPr>
              <w:t>UL,low</w:t>
            </w:r>
            <w:r>
              <w:rPr>
                <w:rFonts w:ascii="Arial" w:hAnsi="Arial" w:eastAsia="宋体"/>
                <w:b/>
                <w:sz w:val="18"/>
                <w:lang w:eastAsia="zh-CN"/>
              </w:rPr>
              <w:t xml:space="preserve">   –  F</w:t>
            </w:r>
            <w:r>
              <w:rPr>
                <w:rFonts w:ascii="Arial" w:hAnsi="Arial" w:eastAsia="宋体"/>
                <w:b/>
                <w:sz w:val="18"/>
                <w:vertAlign w:val="subscript"/>
                <w:lang w:eastAsia="zh-CN"/>
              </w:rPr>
              <w:t>UL,high</w:t>
            </w:r>
          </w:p>
        </w:tc>
        <w:tc>
          <w:tcPr>
            <w:tcW w:w="3840" w:type="dxa"/>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val="en-US" w:eastAsia="zh-CN"/>
              </w:rPr>
            </w:pPr>
            <w:r>
              <w:rPr>
                <w:rFonts w:ascii="Arial" w:hAnsi="Arial" w:eastAsia="宋体"/>
                <w:b/>
                <w:sz w:val="18"/>
                <w:lang w:val="en-US" w:eastAsia="zh-CN"/>
              </w:rPr>
              <w:t>Downlink (DL) operating band</w:t>
            </w:r>
            <w:r>
              <w:rPr>
                <w:rFonts w:ascii="Arial" w:hAnsi="Arial" w:eastAsia="宋体"/>
                <w:b/>
                <w:sz w:val="18"/>
                <w:lang w:val="en-US" w:eastAsia="zh-CN"/>
              </w:rPr>
              <w:br w:type="textWrapping"/>
            </w:r>
            <w:r>
              <w:rPr>
                <w:rFonts w:ascii="Arial" w:hAnsi="Arial" w:eastAsia="宋体"/>
                <w:b/>
                <w:sz w:val="18"/>
                <w:lang w:val="en-US" w:eastAsia="zh-CN"/>
              </w:rPr>
              <w:t>Satellite Access Node transmit / UE receive</w:t>
            </w:r>
          </w:p>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F</w:t>
            </w:r>
            <w:r>
              <w:rPr>
                <w:rFonts w:ascii="Arial" w:hAnsi="Arial" w:eastAsia="宋体"/>
                <w:b/>
                <w:sz w:val="18"/>
                <w:vertAlign w:val="subscript"/>
                <w:lang w:eastAsia="zh-CN"/>
              </w:rPr>
              <w:t>DL,low</w:t>
            </w:r>
            <w:r>
              <w:rPr>
                <w:rFonts w:ascii="Arial" w:hAnsi="Arial" w:eastAsia="宋体"/>
                <w:b/>
                <w:sz w:val="18"/>
                <w:lang w:eastAsia="zh-CN"/>
              </w:rPr>
              <w:t xml:space="preserve">   –  F</w:t>
            </w:r>
            <w:r>
              <w:rPr>
                <w:rFonts w:ascii="Arial" w:hAnsi="Arial" w:eastAsia="宋体"/>
                <w:b/>
                <w:sz w:val="18"/>
                <w:vertAlign w:val="subscript"/>
                <w:lang w:eastAsia="zh-CN"/>
              </w:rPr>
              <w:t>DL,high</w:t>
            </w:r>
            <w:r>
              <w:rPr>
                <w:rFonts w:ascii="Arial" w:hAnsi="Arial" w:eastAsia="宋体"/>
                <w:b/>
                <w:bCs/>
                <w:sz w:val="18"/>
                <w:lang w:eastAsia="zh-CN"/>
              </w:rPr>
              <w:t xml:space="preserve"> </w:t>
            </w:r>
          </w:p>
        </w:tc>
        <w:tc>
          <w:tcPr>
            <w:tcW w:w="886" w:type="dxa"/>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hint="eastAsia" w:ascii="Arial" w:hAnsi="Arial" w:eastAsia="宋体"/>
                <w:sz w:val="18"/>
                <w:lang w:eastAsia="zh-CN"/>
              </w:rPr>
              <w:t>n256</w:t>
            </w:r>
          </w:p>
        </w:tc>
        <w:tc>
          <w:tcPr>
            <w:tcW w:w="3818"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1980</w:t>
            </w:r>
            <w:r>
              <w:rPr>
                <w:rFonts w:hint="eastAsia" w:ascii="Arial" w:hAnsi="Arial" w:eastAsia="宋体"/>
                <w:sz w:val="18"/>
                <w:lang w:val="en-US" w:eastAsia="zh-CN"/>
              </w:rPr>
              <w:t>MHz</w:t>
            </w:r>
            <w:r>
              <w:rPr>
                <w:rFonts w:ascii="Arial" w:hAnsi="Arial" w:eastAsia="宋体"/>
                <w:sz w:val="18"/>
                <w:lang w:eastAsia="zh-CN"/>
              </w:rPr>
              <w:t xml:space="preserve"> – 2010 MHz</w:t>
            </w:r>
          </w:p>
        </w:tc>
        <w:tc>
          <w:tcPr>
            <w:tcW w:w="3840"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2170 MHz</w:t>
            </w:r>
            <w:r>
              <w:rPr>
                <w:rFonts w:hint="eastAsia" w:ascii="Arial" w:hAnsi="Arial" w:eastAsia="宋体"/>
                <w:sz w:val="18"/>
                <w:lang w:val="en-US" w:eastAsia="zh-CN"/>
              </w:rPr>
              <w:t xml:space="preserve"> </w:t>
            </w:r>
            <w:r>
              <w:rPr>
                <w:rFonts w:ascii="Arial" w:hAnsi="Arial" w:eastAsia="宋体"/>
                <w:sz w:val="18"/>
                <w:lang w:eastAsia="zh-CN"/>
              </w:rPr>
              <w:t>–</w:t>
            </w:r>
            <w:r>
              <w:rPr>
                <w:rFonts w:hint="eastAsia" w:ascii="Arial" w:hAnsi="Arial" w:eastAsia="宋体"/>
                <w:sz w:val="18"/>
                <w:lang w:val="en-US" w:eastAsia="zh-CN"/>
              </w:rPr>
              <w:t xml:space="preserve"> </w:t>
            </w:r>
            <w:r>
              <w:rPr>
                <w:rFonts w:ascii="Arial" w:hAnsi="Arial" w:eastAsia="宋体"/>
                <w:sz w:val="18"/>
                <w:lang w:eastAsia="zh-CN"/>
              </w:rPr>
              <w:t>2200 MHz</w:t>
            </w:r>
          </w:p>
        </w:tc>
        <w:tc>
          <w:tcPr>
            <w:tcW w:w="886"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hint="eastAsia" w:ascii="Arial" w:hAnsi="Arial" w:eastAsia="宋体"/>
                <w:sz w:val="18"/>
                <w:lang w:eastAsia="zh-CN"/>
              </w:rPr>
              <w:t>n255</w:t>
            </w:r>
          </w:p>
        </w:tc>
        <w:tc>
          <w:tcPr>
            <w:tcW w:w="3818"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1626.5 MHz – 1660.5 MHz</w:t>
            </w:r>
          </w:p>
        </w:tc>
        <w:tc>
          <w:tcPr>
            <w:tcW w:w="3840"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1525 MHz – 1559</w:t>
            </w:r>
            <w:r>
              <w:rPr>
                <w:rFonts w:hint="eastAsia" w:ascii="Arial" w:hAnsi="Arial" w:eastAsia="宋体"/>
                <w:sz w:val="18"/>
                <w:lang w:eastAsia="zh-CN"/>
              </w:rPr>
              <w:t xml:space="preserve"> </w:t>
            </w:r>
            <w:r>
              <w:rPr>
                <w:rFonts w:ascii="Arial" w:hAnsi="Arial" w:eastAsia="宋体"/>
                <w:sz w:val="18"/>
                <w:lang w:eastAsia="zh-CN"/>
              </w:rPr>
              <w:t>MHz</w:t>
            </w:r>
          </w:p>
        </w:tc>
        <w:tc>
          <w:tcPr>
            <w:tcW w:w="886"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gridSpan w:val="4"/>
            <w:shd w:val="clear" w:color="auto" w:fill="auto"/>
          </w:tcPr>
          <w:p>
            <w:pPr>
              <w:keepNext/>
              <w:keepLines/>
              <w:overflowPunct w:val="0"/>
              <w:autoSpaceDE w:val="0"/>
              <w:autoSpaceDN w:val="0"/>
              <w:adjustRightInd w:val="0"/>
              <w:spacing w:before="0" w:beforeLines="0" w:after="0" w:afterLines="0"/>
              <w:ind w:left="851" w:hanging="851"/>
              <w:textAlignment w:val="baseline"/>
              <w:rPr>
                <w:rFonts w:ascii="Arial" w:hAnsi="Arial" w:eastAsia="宋体"/>
                <w:b/>
                <w:sz w:val="18"/>
                <w:lang w:eastAsia="ja-JP"/>
              </w:rPr>
            </w:pPr>
            <w:r>
              <w:rPr>
                <w:rFonts w:hint="eastAsia" w:ascii="Arial" w:hAnsi="Arial" w:eastAsia="宋体"/>
                <w:sz w:val="18"/>
                <w:lang w:eastAsia="zh-CN"/>
              </w:rPr>
              <w:t>NOTE:</w:t>
            </w:r>
            <w:r>
              <w:rPr>
                <w:rFonts w:ascii="Arial" w:hAnsi="Arial" w:eastAsia="宋体"/>
                <w:sz w:val="18"/>
                <w:lang w:eastAsia="zh-CN"/>
              </w:rPr>
              <w:t xml:space="preserve"> </w:t>
            </w:r>
            <w:r>
              <w:rPr>
                <w:rFonts w:ascii="Arial" w:hAnsi="Arial" w:eastAsia="宋体"/>
                <w:sz w:val="18"/>
                <w:lang w:eastAsia="zh-CN"/>
              </w:rPr>
              <w:tab/>
            </w:r>
            <w:r>
              <w:rPr>
                <w:rFonts w:hint="eastAsia" w:ascii="Arial" w:hAnsi="Arial" w:eastAsia="宋体"/>
                <w:sz w:val="18"/>
                <w:lang w:eastAsia="zh-CN"/>
              </w:rPr>
              <w:t xml:space="preserve">NTN </w:t>
            </w:r>
            <w:r>
              <w:rPr>
                <w:rFonts w:ascii="Arial" w:hAnsi="Arial" w:eastAsia="宋体"/>
                <w:sz w:val="18"/>
                <w:lang w:eastAsia="zh-CN"/>
              </w:rPr>
              <w:t xml:space="preserve">satellite </w:t>
            </w:r>
            <w:r>
              <w:rPr>
                <w:rFonts w:hint="eastAsia" w:ascii="Arial" w:hAnsi="Arial" w:eastAsia="宋体"/>
                <w:sz w:val="18"/>
                <w:lang w:eastAsia="zh-CN"/>
              </w:rPr>
              <w:t xml:space="preserve">bands are numbered in </w:t>
            </w:r>
            <w:r>
              <w:rPr>
                <w:rFonts w:ascii="Arial" w:hAnsi="Arial" w:eastAsia="宋体"/>
                <w:sz w:val="18"/>
                <w:lang w:eastAsia="zh-CN"/>
              </w:rPr>
              <w:t>descending</w:t>
            </w:r>
            <w:r>
              <w:rPr>
                <w:rFonts w:hint="eastAsia" w:ascii="Arial" w:hAnsi="Arial" w:eastAsia="宋体"/>
                <w:sz w:val="18"/>
                <w:lang w:eastAsia="zh-CN"/>
              </w:rPr>
              <w:t xml:space="preserve"> order from n256.</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As the table shows us that NTN satellite bands in FR1 and in R17 NR NTN the RRM requirements are defined based on n256 and n255 bands, that is, FR1 scenario. In R18 NR NTN, the revised WI suggests us  study the in above 10GHz, based on above we think the current requirements doesn</w:t>
      </w:r>
      <w:r>
        <w:rPr>
          <w:rFonts w:hint="default" w:eastAsia="宋体" w:cs="Times New Roman"/>
          <w:sz w:val="22"/>
          <w:lang w:val="en-US" w:eastAsia="zh-CN"/>
        </w:rPr>
        <w:t>’</w:t>
      </w:r>
      <w:r>
        <w:rPr>
          <w:rFonts w:hint="eastAsia" w:eastAsia="宋体" w:cs="Times New Roman"/>
          <w:sz w:val="22"/>
          <w:lang w:val="en-US" w:eastAsia="zh-CN"/>
        </w:rPr>
        <w:t xml:space="preserve">t fit. The potential RRM requirements should be difined, but first of all the scope should also be clarified. For NTN-Ka bands, measurements and handover etc. should be studied in Ka bands, on the contrary, the band between FR1 and NTN-Ka bands are not included in this WI.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The potential RRM impacts on the following requirements are presented:</w:t>
      </w:r>
    </w:p>
    <w:p>
      <w:pPr>
        <w:numPr>
          <w:ilvl w:val="0"/>
          <w:numId w:val="6"/>
        </w:numPr>
        <w:ind w:left="420" w:leftChars="0" w:hanging="420" w:firstLineChars="0"/>
        <w:rPr>
          <w:lang w:eastAsia="ja-JP"/>
        </w:rPr>
      </w:pPr>
      <w:r>
        <w:rPr>
          <w:lang w:eastAsia="ja-JP"/>
        </w:rPr>
        <w:t>Rx beam sweeping</w:t>
      </w:r>
    </w:p>
    <w:p>
      <w:pPr>
        <w:numPr>
          <w:ilvl w:val="0"/>
          <w:numId w:val="6"/>
        </w:numPr>
        <w:ind w:left="420" w:leftChars="0" w:hanging="420" w:firstLineChars="0"/>
        <w:rPr>
          <w:lang w:eastAsia="ja-JP"/>
        </w:rPr>
      </w:pPr>
      <w:r>
        <w:rPr>
          <w:lang w:eastAsia="ja-JP"/>
        </w:rPr>
        <w:t>Timing requirements</w:t>
      </w:r>
    </w:p>
    <w:p>
      <w:pPr>
        <w:numPr>
          <w:ilvl w:val="0"/>
          <w:numId w:val="6"/>
        </w:numPr>
        <w:ind w:left="420" w:leftChars="0" w:hanging="420" w:firstLineChars="0"/>
        <w:rPr>
          <w:lang w:eastAsia="ja-JP"/>
        </w:rPr>
      </w:pPr>
      <w:r>
        <w:rPr>
          <w:lang w:eastAsia="ja-JP"/>
        </w:rPr>
        <w:t>Link-budget in NTN-Ka bands</w:t>
      </w:r>
    </w:p>
    <w:p>
      <w:pPr>
        <w:numPr>
          <w:ilvl w:val="0"/>
          <w:numId w:val="6"/>
        </w:numPr>
        <w:ind w:left="420" w:leftChars="0" w:hanging="420" w:firstLineChars="0"/>
        <w:rPr>
          <w:lang w:eastAsia="ja-JP"/>
        </w:rPr>
      </w:pPr>
      <w:r>
        <w:rPr>
          <w:lang w:eastAsia="ja-JP"/>
        </w:rPr>
        <w:t>Cell re</w:t>
      </w:r>
      <w:r>
        <w:rPr>
          <w:rFonts w:hint="eastAsia" w:eastAsia="宋体"/>
          <w:lang w:val="en-US" w:eastAsia="zh-CN"/>
        </w:rPr>
        <w:t>-</w:t>
      </w:r>
      <w:r>
        <w:rPr>
          <w:lang w:eastAsia="ja-JP"/>
        </w:rPr>
        <w:t>selection</w:t>
      </w:r>
    </w:p>
    <w:p>
      <w:pPr>
        <w:numPr>
          <w:ilvl w:val="0"/>
          <w:numId w:val="6"/>
        </w:numPr>
        <w:ind w:left="420" w:leftChars="0" w:hanging="420" w:firstLineChars="0"/>
        <w:rPr>
          <w:lang w:eastAsia="ja-JP"/>
        </w:rPr>
      </w:pPr>
      <w:r>
        <w:rPr>
          <w:lang w:eastAsia="ja-JP"/>
        </w:rPr>
        <w:t>Handover</w:t>
      </w:r>
    </w:p>
    <w:p>
      <w:pPr>
        <w:numPr>
          <w:ilvl w:val="0"/>
          <w:numId w:val="6"/>
        </w:numPr>
        <w:ind w:left="420" w:leftChars="0" w:hanging="420" w:firstLineChars="0"/>
        <w:rPr>
          <w:lang w:eastAsia="ja-JP"/>
        </w:rPr>
      </w:pPr>
      <w:r>
        <w:rPr>
          <w:lang w:eastAsia="ja-JP"/>
        </w:rPr>
        <w:t>RLM and LR</w:t>
      </w:r>
    </w:p>
    <w:p>
      <w:pPr>
        <w:numPr>
          <w:ilvl w:val="0"/>
          <w:numId w:val="6"/>
        </w:numPr>
        <w:ind w:left="420" w:leftChars="0" w:hanging="420" w:firstLineChars="0"/>
        <w:rPr>
          <w:lang w:eastAsia="ja-JP"/>
        </w:rPr>
      </w:pPr>
      <w:r>
        <w:rPr>
          <w:lang w:eastAsia="ja-JP"/>
        </w:rPr>
        <w:t>Measurements</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 xml:space="preserve">Proposal 2: The current requirements for FR1 shall be the baseline or the starting point when RAN4 defines the requirements for NR NTN in above 10GHz. </w:t>
      </w:r>
    </w:p>
    <w:p>
      <w:pPr>
        <w:pStyle w:val="78"/>
        <w:numPr>
          <w:ilvl w:val="1"/>
          <w:numId w:val="0"/>
        </w:numPr>
        <w:bidi w:val="0"/>
        <w:rPr>
          <w:rFonts w:hint="eastAsia"/>
          <w:lang w:val="en-US" w:eastAsia="zh-CN"/>
        </w:rPr>
      </w:pPr>
    </w:p>
    <w:p>
      <w:pPr>
        <w:pStyle w:val="78"/>
        <w:numPr>
          <w:ilvl w:val="1"/>
          <w:numId w:val="0"/>
        </w:numPr>
        <w:bidi w:val="0"/>
        <w:ind w:left="640" w:hanging="640" w:hangingChars="200"/>
        <w:jc w:val="both"/>
        <w:rPr>
          <w:rFonts w:hint="eastAsia"/>
          <w:lang w:val="en-US" w:eastAsia="zh-CN"/>
        </w:rPr>
      </w:pPr>
      <w:r>
        <w:rPr>
          <w:rFonts w:hint="eastAsia"/>
          <w:lang w:val="en-US" w:eastAsia="zh-CN"/>
        </w:rPr>
        <w:t xml:space="preserve">2.3 </w:t>
      </w:r>
      <w:r>
        <w:rPr>
          <w:rFonts w:hint="eastAsia"/>
          <w:sz w:val="28"/>
          <w:szCs w:val="18"/>
          <w:lang w:val="en-US" w:eastAsia="zh-CN"/>
        </w:rPr>
        <w:t>NTN-TN and NTN-NTN mobility and service continuity enhancements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Cs/>
              </w:rPr>
            </w:pPr>
            <w:r>
              <w:rPr>
                <w:bCs/>
              </w:rPr>
              <w:t>This work considers existing methods from NR TN as well as outcome of Rel-17 NR NTN WI outcome as baseline for NTN-TN mobility.</w:t>
            </w:r>
          </w:p>
          <w:p>
            <w:pPr>
              <w:spacing w:after="0"/>
              <w:rPr>
                <w:bCs/>
              </w:rPr>
            </w:pPr>
          </w:p>
          <w:p>
            <w:pPr>
              <w:numPr>
                <w:ilvl w:val="0"/>
                <w:numId w:val="7"/>
              </w:numPr>
              <w:spacing w:after="0"/>
              <w:rPr>
                <w:bCs/>
              </w:rPr>
            </w:pPr>
            <w:r>
              <w:rPr>
                <w:bCs/>
              </w:rPr>
              <w:t>Specify NTN-TN and NTN-NTN measurement/mobility and service continuity enhancements [RAN2,RAN3,RAN4]</w:t>
            </w:r>
          </w:p>
          <w:p>
            <w:pPr>
              <w:numPr>
                <w:ilvl w:val="1"/>
                <w:numId w:val="7"/>
              </w:numPr>
              <w:spacing w:after="0"/>
              <w:rPr>
                <w:bCs/>
                <w:highlight w:val="cyan"/>
              </w:rPr>
            </w:pPr>
            <w:r>
              <w:rPr>
                <w:bCs/>
                <w:highlight w:val="cyan"/>
              </w:rPr>
              <w:t>For NTN-NTN mobility, specify cell reselection enhancements for earth moving cell, the timing based and location-based cell reselection for quasi-earth fixed cell in Rel-17 can be considered as the starting point. [RAN2, RAN3, RAN4]</w:t>
            </w:r>
          </w:p>
          <w:p>
            <w:pPr>
              <w:numPr>
                <w:ilvl w:val="1"/>
                <w:numId w:val="7"/>
              </w:numPr>
              <w:spacing w:after="0"/>
              <w:rPr>
                <w:bCs/>
                <w:highlight w:val="cyan"/>
              </w:rPr>
            </w:pPr>
            <w:r>
              <w:rPr>
                <w:bCs/>
                <w:highlight w:val="cyan"/>
              </w:rPr>
              <w:t>Specify cell reselection enhancements for RRC_IDLE/INACTIVE UEs to reduce UE power consumption</w:t>
            </w:r>
            <w:r>
              <w:rPr>
                <w:b/>
                <w:bCs w:val="0"/>
                <w:highlight w:val="cyan"/>
              </w:rPr>
              <w:t xml:space="preserve"> (NTN-TN mobility is prioritized)</w:t>
            </w:r>
            <w:r>
              <w:rPr>
                <w:bCs/>
                <w:highlight w:val="cyan"/>
              </w:rPr>
              <w:t>. [RAN2, RAN3, RAN4]</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First of all, we need to clarify the scope:</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In this WI only single carrier is supported;</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cell re-selection enhancements for RRC_IDLE/INACTIVE for NTN-TN and NTN-NTN scenario are supported, the TN-NTN scenario;</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 xml:space="preserve"> The RRC_CONNECTED state related issues are not included in this WI;</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mobility issues mainly towards the earth moving cell such as NGSO (LEO, MEO).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b/>
          <w:bCs/>
          <w:sz w:val="22"/>
          <w:lang w:val="en-US" w:eastAsia="zh-CN"/>
        </w:rPr>
        <w:t>For the first bullet,</w:t>
      </w:r>
      <w:r>
        <w:rPr>
          <w:rFonts w:hint="eastAsia" w:eastAsia="宋体" w:cs="Times New Roman"/>
          <w:sz w:val="22"/>
          <w:lang w:val="en-US" w:eastAsia="zh-CN"/>
        </w:rPr>
        <w:t xml:space="preserve"> in R17 we defined and studied requirements for cell re-selection which are applied for the quasi-earth fixed scenario, the time based and location based were discussed, based on the clarified scope, the cell re-selection enhancement for earth moving scenario will be studied in this meeting.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default" w:eastAsia="宋体" w:cs="Times New Roman"/>
          <w:sz w:val="22"/>
          <w:lang w:val="en-US" w:eastAsia="zh-CN"/>
        </w:rPr>
        <w:t xml:space="preserve">This is mainly a progress based on RAN2 </w:t>
      </w:r>
      <w:r>
        <w:rPr>
          <w:rFonts w:hint="eastAsia" w:eastAsia="宋体" w:cs="Times New Roman"/>
          <w:sz w:val="22"/>
          <w:lang w:val="en-US" w:eastAsia="zh-CN"/>
        </w:rPr>
        <w:t>progress</w:t>
      </w:r>
      <w:r>
        <w:rPr>
          <w:rFonts w:hint="default" w:eastAsia="宋体" w:cs="Times New Roman"/>
          <w:sz w:val="22"/>
          <w:lang w:val="en-US" w:eastAsia="zh-CN"/>
        </w:rPr>
        <w:t>. For NTN-NTN mobility</w:t>
      </w:r>
      <w:r>
        <w:rPr>
          <w:rFonts w:hint="eastAsia" w:eastAsia="宋体" w:cs="Times New Roman"/>
          <w:sz w:val="22"/>
          <w:lang w:val="en-US"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13080" w:type="dxa"/>
          </w:tcPr>
          <w:p>
            <w:pPr>
              <w:pStyle w:val="21"/>
              <w:numPr>
                <w:ilvl w:val="0"/>
                <w:numId w:val="0"/>
              </w:numPr>
              <w:overflowPunct w:val="0"/>
              <w:autoSpaceDE w:val="0"/>
              <w:autoSpaceDN w:val="0"/>
              <w:adjustRightInd w:val="0"/>
              <w:ind w:left="29" w:leftChars="0"/>
              <w:jc w:val="both"/>
              <w:textAlignment w:val="baseline"/>
              <w:rPr>
                <w:rFonts w:hint="default" w:eastAsia="宋体"/>
                <w:b/>
                <w:bCs/>
                <w:sz w:val="21"/>
                <w:szCs w:val="21"/>
                <w:lang w:val="en-US" w:eastAsia="zh-CN"/>
              </w:rPr>
            </w:pPr>
            <w:r>
              <w:rPr>
                <w:rFonts w:hint="eastAsia" w:eastAsia="宋体"/>
                <w:b/>
                <w:bCs/>
                <w:sz w:val="21"/>
                <w:szCs w:val="21"/>
                <w:lang w:val="en-US" w:eastAsia="zh-CN"/>
              </w:rPr>
              <w:t>In RAN2 #119bis meeting:</w:t>
            </w:r>
          </w:p>
          <w:p>
            <w:pPr>
              <w:pStyle w:val="21"/>
              <w:numPr>
                <w:ilvl w:val="0"/>
                <w:numId w:val="9"/>
              </w:numPr>
              <w:overflowPunct w:val="0"/>
              <w:autoSpaceDE w:val="0"/>
              <w:autoSpaceDN w:val="0"/>
              <w:adjustRightInd w:val="0"/>
              <w:ind w:left="420" w:leftChars="0" w:hanging="420" w:firstLineChars="0"/>
              <w:jc w:val="both"/>
              <w:textAlignment w:val="baseline"/>
              <w:rPr>
                <w:lang w:val="en-US" w:eastAsia="ko-KR"/>
              </w:rPr>
            </w:pPr>
            <w:r>
              <w:rPr>
                <w:lang w:val="en-US" w:eastAsia="ko-KR"/>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pPr>
              <w:pStyle w:val="21"/>
              <w:numPr>
                <w:ilvl w:val="0"/>
                <w:numId w:val="9"/>
              </w:numPr>
              <w:overflowPunct w:val="0"/>
              <w:autoSpaceDE w:val="0"/>
              <w:autoSpaceDN w:val="0"/>
              <w:adjustRightInd w:val="0"/>
              <w:ind w:left="420" w:leftChars="0" w:hanging="420" w:firstLineChars="0"/>
              <w:jc w:val="both"/>
              <w:textAlignment w:val="baseline"/>
              <w:rPr>
                <w:highlight w:val="cyan"/>
                <w:lang w:val="en-US" w:eastAsia="ko-KR"/>
              </w:rPr>
            </w:pPr>
            <w:r>
              <w:rPr>
                <w:highlight w:val="cyan"/>
                <w:lang w:val="en-US" w:eastAsia="ko-KR"/>
              </w:rPr>
              <w:t>System information is the basic means for providing necessary parameters to assist UE to estimate when the serving cell stops providing coverage at the present UE location.</w:t>
            </w:r>
          </w:p>
          <w:p>
            <w:pPr>
              <w:pStyle w:val="21"/>
              <w:numPr>
                <w:ilvl w:val="0"/>
                <w:numId w:val="9"/>
              </w:numPr>
              <w:overflowPunct w:val="0"/>
              <w:autoSpaceDE w:val="0"/>
              <w:autoSpaceDN w:val="0"/>
              <w:adjustRightInd w:val="0"/>
              <w:ind w:left="420" w:leftChars="0" w:hanging="420" w:firstLineChars="0"/>
              <w:jc w:val="both"/>
              <w:textAlignment w:val="baseline"/>
              <w:rPr>
                <w:lang w:val="en-US" w:eastAsia="ko-KR"/>
              </w:rPr>
            </w:pPr>
            <w:r>
              <w:rPr>
                <w:highlight w:val="cyan"/>
                <w:lang w:val="en-US" w:eastAsia="ko-KR"/>
              </w:rPr>
              <w:t>In Earth-moving cell, the reference location and distance threshold of serving cell are provided by network for UE to estimate when the serving cell stops providing coverage at the present UE location.</w:t>
            </w:r>
            <w:r>
              <w:rPr>
                <w:lang w:val="en-US" w:eastAsia="ko-KR"/>
              </w:rPr>
              <w:t xml:space="preserve"> FFS how the reference location and/or distance threshold are provided to the UE</w:t>
            </w:r>
          </w:p>
          <w:p>
            <w:pPr>
              <w:pStyle w:val="21"/>
              <w:numPr>
                <w:ilvl w:val="0"/>
                <w:numId w:val="0"/>
              </w:numPr>
              <w:overflowPunct w:val="0"/>
              <w:autoSpaceDE w:val="0"/>
              <w:autoSpaceDN w:val="0"/>
              <w:adjustRightInd w:val="0"/>
              <w:ind w:left="29" w:leftChars="0"/>
              <w:jc w:val="both"/>
              <w:textAlignment w:val="baseline"/>
              <w:rPr>
                <w:lang w:val="en-US" w:eastAsia="ko-KR"/>
              </w:rPr>
            </w:pPr>
          </w:p>
          <w:p>
            <w:pPr>
              <w:pStyle w:val="21"/>
              <w:numPr>
                <w:ilvl w:val="0"/>
                <w:numId w:val="0"/>
              </w:numPr>
              <w:overflowPunct w:val="0"/>
              <w:autoSpaceDE w:val="0"/>
              <w:autoSpaceDN w:val="0"/>
              <w:adjustRightInd w:val="0"/>
              <w:ind w:left="29" w:leftChars="0"/>
              <w:jc w:val="both"/>
              <w:textAlignment w:val="baseline"/>
              <w:rPr>
                <w:rFonts w:hint="default" w:eastAsia="宋体"/>
                <w:b/>
                <w:bCs/>
                <w:sz w:val="21"/>
                <w:szCs w:val="21"/>
                <w:lang w:val="en-US" w:eastAsia="zh-CN"/>
              </w:rPr>
            </w:pPr>
            <w:r>
              <w:rPr>
                <w:rFonts w:hint="eastAsia" w:eastAsia="宋体"/>
                <w:b/>
                <w:bCs/>
                <w:sz w:val="21"/>
                <w:szCs w:val="21"/>
                <w:lang w:val="en-US" w:eastAsia="zh-CN"/>
              </w:rPr>
              <w:t>In RAN2 #121 meeting:</w:t>
            </w:r>
          </w:p>
          <w:p>
            <w:pPr>
              <w:numPr>
                <w:ilvl w:val="0"/>
                <w:numId w:val="10"/>
              </w:numPr>
              <w:overflowPunct w:val="0"/>
              <w:autoSpaceDE w:val="0"/>
              <w:autoSpaceDN w:val="0"/>
              <w:adjustRightInd w:val="0"/>
              <w:spacing w:after="180"/>
              <w:ind w:left="420" w:leftChars="0" w:hanging="420" w:firstLineChars="0"/>
              <w:textAlignment w:val="baseline"/>
              <w:rPr>
                <w:rFonts w:hint="eastAsia"/>
              </w:rPr>
            </w:pPr>
            <w:r>
              <w:rPr>
                <w:rFonts w:hint="eastAsia"/>
                <w:highlight w:val="cyan"/>
              </w:rPr>
              <w:t>A serving cell reference location and a distance threshold/radius will be broadcast for earth-moving cell.</w:t>
            </w:r>
            <w:r>
              <w:rPr>
                <w:rFonts w:hint="eastAsia"/>
              </w:rPr>
              <w:t xml:space="preserve"> FFS on whether the R17 IEs are reused or not. FFS on whether additional information needs to be broadcast to inform the UE </w:t>
            </w:r>
            <w:r>
              <w:rPr>
                <w:rFonts w:hint="eastAsia"/>
                <w:highlight w:val="none"/>
              </w:rPr>
              <w:t>how the reference location moves over time</w:t>
            </w:r>
            <w:r>
              <w:rPr>
                <w:rFonts w:hint="eastAsia"/>
              </w:rPr>
              <w:t xml:space="preserve"> or if this can be derived from other information (e.g. Epoch time and ephemeris).</w:t>
            </w:r>
          </w:p>
          <w:p>
            <w:pPr>
              <w:numPr>
                <w:ilvl w:val="0"/>
                <w:numId w:val="10"/>
              </w:numPr>
              <w:overflowPunct w:val="0"/>
              <w:autoSpaceDE w:val="0"/>
              <w:autoSpaceDN w:val="0"/>
              <w:adjustRightInd w:val="0"/>
              <w:spacing w:after="180"/>
              <w:ind w:left="420" w:leftChars="0" w:hanging="420" w:firstLineChars="0"/>
              <w:textAlignment w:val="baseline"/>
              <w:rPr>
                <w:highlight w:val="cyan"/>
              </w:rPr>
            </w:pPr>
            <w:r>
              <w:rPr>
                <w:rFonts w:hint="eastAsia"/>
                <w:highlight w:val="cyan"/>
              </w:rPr>
              <w:t>For cell selection/reselection, location-based measurement initiation is supported in earth-moving cell</w:t>
            </w:r>
            <w:r>
              <w:rPr>
                <w:rFonts w:hint="eastAsia"/>
                <w:highlight w:val="cyan"/>
                <w:lang w:val="en-US" w:eastAsia="zh-CN"/>
              </w:rPr>
              <w:t>.</w:t>
            </w:r>
          </w:p>
          <w:p>
            <w:pPr>
              <w:numPr>
                <w:ilvl w:val="0"/>
                <w:numId w:val="10"/>
              </w:numPr>
              <w:overflowPunct w:val="0"/>
              <w:autoSpaceDE w:val="0"/>
              <w:autoSpaceDN w:val="0"/>
              <w:adjustRightInd w:val="0"/>
              <w:spacing w:after="180"/>
              <w:ind w:left="420" w:leftChars="0" w:hanging="420" w:firstLineChars="0"/>
              <w:textAlignment w:val="baseline"/>
              <w:rPr>
                <w:rFonts w:hint="eastAsia"/>
              </w:rPr>
            </w:pPr>
            <w:r>
              <w:rPr>
                <w:rFonts w:hint="eastAsia"/>
                <w:b/>
                <w:bCs/>
                <w:highlight w:val="cyan"/>
              </w:rPr>
              <w:t>For earth-moving cell, the location-based cell measurement rules of quasi-fixed cell is reused</w:t>
            </w:r>
            <w:r>
              <w:rPr>
                <w:rFonts w:hint="eastAsia"/>
              </w:rPr>
              <w:t>, i.e., for cell reselection in earth-moving cell, UE initiates measurements when its location to serving cell reference location is larger than the configured distance threshold.</w:t>
            </w:r>
          </w:p>
          <w:p>
            <w:pPr>
              <w:widowControl w:val="0"/>
              <w:numPr>
                <w:ilvl w:val="0"/>
                <w:numId w:val="10"/>
              </w:numPr>
              <w:overflowPunct w:val="0"/>
              <w:autoSpaceDE w:val="0"/>
              <w:autoSpaceDN w:val="0"/>
              <w:adjustRightInd w:val="0"/>
              <w:spacing w:after="180"/>
              <w:ind w:left="420" w:leftChars="0" w:hanging="420" w:firstLineChars="0"/>
              <w:jc w:val="both"/>
              <w:textAlignment w:val="baseline"/>
              <w:rPr>
                <w:rFonts w:hint="eastAsia"/>
              </w:rPr>
            </w:pPr>
            <w:r>
              <w:rPr>
                <w:rFonts w:hint="eastAsia"/>
              </w:rP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r>
              <w:rPr>
                <w:rFonts w:hint="eastAsia"/>
                <w:lang w:val="en-US" w:eastAsia="zh-CN"/>
              </w:rPr>
              <w:t>.</w:t>
            </w:r>
          </w:p>
          <w:p>
            <w:pPr>
              <w:pStyle w:val="21"/>
              <w:numPr>
                <w:ilvl w:val="0"/>
                <w:numId w:val="0"/>
              </w:numPr>
              <w:overflowPunct w:val="0"/>
              <w:autoSpaceDE w:val="0"/>
              <w:autoSpaceDN w:val="0"/>
              <w:adjustRightInd w:val="0"/>
              <w:ind w:left="29" w:leftChars="0"/>
              <w:jc w:val="both"/>
              <w:textAlignment w:val="baseline"/>
              <w:rPr>
                <w:rFonts w:hint="default" w:eastAsia="宋体"/>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After several RAN2</w:t>
      </w:r>
      <w:r>
        <w:rPr>
          <w:rFonts w:hint="default" w:eastAsia="宋体" w:cs="Times New Roman"/>
          <w:sz w:val="22"/>
          <w:lang w:val="en-US" w:eastAsia="zh-CN"/>
        </w:rPr>
        <w:t>’</w:t>
      </w:r>
      <w:r>
        <w:rPr>
          <w:rFonts w:hint="eastAsia" w:eastAsia="宋体" w:cs="Times New Roman"/>
          <w:sz w:val="22"/>
          <w:lang w:val="en-US" w:eastAsia="zh-CN"/>
        </w:rPr>
        <w:t>s meetings, we can capture several key conclusions from it: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The necessary parameters will be provided by NW to assist UE to estimate when the serving cell stops providing coverage at the present UE location and the SI is the basic means like SIB19. </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 xml:space="preserve">According to RAN2 agreements, </w:t>
      </w:r>
      <w:r>
        <w:rPr>
          <w:rFonts w:hint="default" w:eastAsia="宋体" w:cs="Times New Roman"/>
          <w:sz w:val="22"/>
          <w:lang w:val="en-US" w:eastAsia="zh-CN"/>
        </w:rPr>
        <w:t>“</w:t>
      </w:r>
      <w:r>
        <w:rPr>
          <w:rFonts w:hint="eastAsia" w:eastAsia="宋体" w:cs="Times New Roman"/>
          <w:sz w:val="22"/>
          <w:lang w:val="en-US" w:eastAsia="zh-CN"/>
        </w:rPr>
        <w:t xml:space="preserve"> </w:t>
      </w:r>
      <w:r>
        <w:rPr>
          <w:rFonts w:hint="eastAsia" w:eastAsia="宋体" w:cs="Times New Roman"/>
          <w:sz w:val="22"/>
          <w:highlight w:val="yellow"/>
          <w:lang w:val="en-US" w:eastAsia="zh-CN"/>
        </w:rPr>
        <w:t>For earth-moving cell, the location-based cell measurement rules of quasi-fixed cell is reused, i.e., for cell reselection in earth-moving cell, UE initiates measurements when its location to serving cell reference location is larger than the configured distance threshold.</w:t>
      </w:r>
      <w:r>
        <w:rPr>
          <w:rFonts w:hint="default" w:eastAsia="宋体" w:cs="Times New Roman"/>
          <w:sz w:val="22"/>
          <w:lang w:val="en-US" w:eastAsia="zh-CN"/>
        </w:rPr>
        <w:t>”</w:t>
      </w:r>
      <w:r>
        <w:rPr>
          <w:rFonts w:hint="eastAsia" w:eastAsia="宋体" w:cs="Times New Roman"/>
          <w:sz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From RAN4 perspective, the time based method and location based method were introduced in R17, that is, the “t-service” is cell service time for UE doing the measurements and the comparable “reference distance and configured distance threshold” were discussed. However, based on RAN2 agreements the location based should be studied firstly and the location based cell measurement rules of quasi-fixed cell is reused, on the contrary, the time based method shall be introduced after RAN2 concrete progress.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1: For earth-moving cell, the location-based cell measurement rules of quasi-fixed cell is reused.</w:t>
      </w:r>
    </w:p>
    <w:tbl>
      <w:tblPr>
        <w:tblStyle w:val="29"/>
        <w:tblpPr w:leftFromText="180" w:rightFromText="180" w:vertAnchor="text" w:horzAnchor="page" w:tblpXSpec="center" w:tblpY="1207"/>
        <w:tblOverlap w:val="never"/>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602"/>
        <w:gridCol w:w="1602"/>
        <w:gridCol w:w="934"/>
        <w:gridCol w:w="934"/>
        <w:gridCol w:w="1068"/>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tblHeader/>
          <w:jc w:val="center"/>
        </w:trPr>
        <w:tc>
          <w:tcPr>
            <w:tcW w:w="2106" w:type="dxa"/>
            <w:noWrap w:val="0"/>
            <w:vAlign w:val="top"/>
          </w:tcPr>
          <w:p>
            <w:pPr>
              <w:pStyle w:val="45"/>
              <w:jc w:val="both"/>
            </w:pPr>
            <w:r>
              <w:t>NTN scenarios</w:t>
            </w:r>
          </w:p>
        </w:tc>
        <w:tc>
          <w:tcPr>
            <w:tcW w:w="1602" w:type="dxa"/>
            <w:noWrap w:val="0"/>
            <w:vAlign w:val="top"/>
          </w:tcPr>
          <w:p>
            <w:pPr>
              <w:pStyle w:val="45"/>
            </w:pPr>
            <w:r>
              <w:t>A</w:t>
            </w:r>
          </w:p>
        </w:tc>
        <w:tc>
          <w:tcPr>
            <w:tcW w:w="1602" w:type="dxa"/>
            <w:noWrap w:val="0"/>
            <w:vAlign w:val="top"/>
          </w:tcPr>
          <w:p>
            <w:pPr>
              <w:pStyle w:val="45"/>
            </w:pPr>
            <w:r>
              <w:t>B</w:t>
            </w:r>
          </w:p>
        </w:tc>
        <w:tc>
          <w:tcPr>
            <w:tcW w:w="934" w:type="dxa"/>
            <w:noWrap w:val="0"/>
            <w:vAlign w:val="top"/>
          </w:tcPr>
          <w:p>
            <w:pPr>
              <w:pStyle w:val="45"/>
            </w:pPr>
            <w:r>
              <w:t>C1</w:t>
            </w:r>
          </w:p>
        </w:tc>
        <w:tc>
          <w:tcPr>
            <w:tcW w:w="934" w:type="dxa"/>
            <w:noWrap w:val="0"/>
            <w:vAlign w:val="top"/>
          </w:tcPr>
          <w:p>
            <w:pPr>
              <w:pStyle w:val="45"/>
            </w:pPr>
            <w:r>
              <w:t>C2</w:t>
            </w:r>
          </w:p>
        </w:tc>
        <w:tc>
          <w:tcPr>
            <w:tcW w:w="1068" w:type="dxa"/>
            <w:noWrap w:val="0"/>
            <w:vAlign w:val="top"/>
          </w:tcPr>
          <w:p>
            <w:pPr>
              <w:pStyle w:val="45"/>
            </w:pPr>
            <w:r>
              <w:t>D1</w:t>
            </w:r>
          </w:p>
        </w:tc>
        <w:tc>
          <w:tcPr>
            <w:tcW w:w="1110" w:type="dxa"/>
            <w:noWrap w:val="0"/>
            <w:vAlign w:val="top"/>
          </w:tcPr>
          <w:p>
            <w:pPr>
              <w:pStyle w:val="45"/>
            </w:pPr>
            <w:r>
              <w:t>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tblHeader/>
          <w:jc w:val="center"/>
        </w:trPr>
        <w:tc>
          <w:tcPr>
            <w:tcW w:w="2106" w:type="dxa"/>
            <w:noWrap w:val="0"/>
            <w:vAlign w:val="top"/>
          </w:tcPr>
          <w:p>
            <w:pPr>
              <w:pStyle w:val="45"/>
            </w:pPr>
          </w:p>
        </w:tc>
        <w:tc>
          <w:tcPr>
            <w:tcW w:w="1602" w:type="dxa"/>
            <w:noWrap w:val="0"/>
            <w:vAlign w:val="top"/>
          </w:tcPr>
          <w:p>
            <w:pPr>
              <w:pStyle w:val="45"/>
              <w:rPr>
                <w:i/>
                <w:szCs w:val="18"/>
              </w:rPr>
            </w:pPr>
            <w:r>
              <w:rPr>
                <w:i/>
                <w:szCs w:val="18"/>
              </w:rPr>
              <w:t>GEO transparent payload</w:t>
            </w:r>
          </w:p>
        </w:tc>
        <w:tc>
          <w:tcPr>
            <w:tcW w:w="1602" w:type="dxa"/>
            <w:noWrap w:val="0"/>
            <w:vAlign w:val="top"/>
          </w:tcPr>
          <w:p>
            <w:pPr>
              <w:pStyle w:val="45"/>
              <w:rPr>
                <w:i/>
                <w:szCs w:val="18"/>
              </w:rPr>
            </w:pPr>
            <w:r>
              <w:rPr>
                <w:i/>
                <w:szCs w:val="18"/>
              </w:rPr>
              <w:t>GEO regenerative payload</w:t>
            </w:r>
          </w:p>
        </w:tc>
        <w:tc>
          <w:tcPr>
            <w:tcW w:w="1868" w:type="dxa"/>
            <w:gridSpan w:val="2"/>
            <w:noWrap w:val="0"/>
            <w:vAlign w:val="top"/>
          </w:tcPr>
          <w:p>
            <w:pPr>
              <w:pStyle w:val="45"/>
              <w:rPr>
                <w:i/>
                <w:szCs w:val="18"/>
              </w:rPr>
            </w:pPr>
            <w:r>
              <w:rPr>
                <w:i/>
                <w:szCs w:val="18"/>
              </w:rPr>
              <w:t>LEO transparent payload</w:t>
            </w:r>
          </w:p>
        </w:tc>
        <w:tc>
          <w:tcPr>
            <w:tcW w:w="2178" w:type="dxa"/>
            <w:gridSpan w:val="2"/>
            <w:noWrap w:val="0"/>
            <w:vAlign w:val="top"/>
          </w:tcPr>
          <w:p>
            <w:pPr>
              <w:pStyle w:val="45"/>
              <w:rPr>
                <w:i/>
                <w:szCs w:val="18"/>
              </w:rPr>
            </w:pPr>
            <w:r>
              <w:rPr>
                <w:i/>
                <w:szCs w:val="18"/>
              </w:rPr>
              <w:t>LEO regenerative payload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2106" w:type="dxa"/>
            <w:noWrap w:val="0"/>
            <w:vAlign w:val="center"/>
          </w:tcPr>
          <w:p>
            <w:pPr>
              <w:pStyle w:val="45"/>
            </w:pPr>
            <w:r>
              <w:t>Satellite altitude</w:t>
            </w:r>
          </w:p>
        </w:tc>
        <w:tc>
          <w:tcPr>
            <w:tcW w:w="3204" w:type="dxa"/>
            <w:gridSpan w:val="2"/>
            <w:noWrap w:val="0"/>
            <w:vAlign w:val="center"/>
          </w:tcPr>
          <w:p>
            <w:pPr>
              <w:pStyle w:val="45"/>
            </w:pPr>
            <w:r>
              <w:rPr>
                <w:rFonts w:eastAsia="Calibri"/>
              </w:rPr>
              <w:t>35786 km</w:t>
            </w:r>
          </w:p>
        </w:tc>
        <w:tc>
          <w:tcPr>
            <w:tcW w:w="4046" w:type="dxa"/>
            <w:gridSpan w:val="4"/>
            <w:noWrap w:val="0"/>
            <w:vAlign w:val="center"/>
          </w:tcPr>
          <w:p>
            <w:pPr>
              <w:pStyle w:val="45"/>
            </w:pPr>
            <w: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106" w:type="dxa"/>
            <w:noWrap w:val="0"/>
            <w:vAlign w:val="center"/>
          </w:tcPr>
          <w:p>
            <w:pPr>
              <w:pStyle w:val="45"/>
            </w:pPr>
            <w:r>
              <w:t>Relative speed of Satellite with respect to earth</w:t>
            </w:r>
          </w:p>
        </w:tc>
        <w:tc>
          <w:tcPr>
            <w:tcW w:w="3204" w:type="dxa"/>
            <w:gridSpan w:val="2"/>
            <w:noWrap w:val="0"/>
            <w:vAlign w:val="center"/>
          </w:tcPr>
          <w:p>
            <w:pPr>
              <w:pStyle w:val="45"/>
            </w:pPr>
            <w:r>
              <w:rPr>
                <w:rFonts w:eastAsia="Calibri"/>
              </w:rPr>
              <w:t>negligible</w:t>
            </w:r>
          </w:p>
        </w:tc>
        <w:tc>
          <w:tcPr>
            <w:tcW w:w="4046" w:type="dxa"/>
            <w:gridSpan w:val="4"/>
            <w:noWrap w:val="0"/>
            <w:vAlign w:val="center"/>
          </w:tcPr>
          <w:p>
            <w:pPr>
              <w:pStyle w:val="45"/>
            </w:pPr>
            <w:r>
              <w:t>7.56 km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2106" w:type="dxa"/>
            <w:noWrap w:val="0"/>
            <w:vAlign w:val="center"/>
          </w:tcPr>
          <w:p>
            <w:pPr>
              <w:pStyle w:val="45"/>
            </w:pPr>
            <w:r>
              <w:t>Min elevation for both feeder and service links</w:t>
            </w:r>
          </w:p>
        </w:tc>
        <w:tc>
          <w:tcPr>
            <w:tcW w:w="7250" w:type="dxa"/>
            <w:gridSpan w:val="6"/>
            <w:noWrap w:val="0"/>
            <w:vAlign w:val="center"/>
          </w:tcPr>
          <w:p>
            <w:pPr>
              <w:pStyle w:val="45"/>
            </w:pPr>
            <w:r>
              <w:t>10° for service link and 10° for feeder 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106" w:type="dxa"/>
            <w:noWrap w:val="0"/>
            <w:vAlign w:val="center"/>
          </w:tcPr>
          <w:p>
            <w:pPr>
              <w:pStyle w:val="45"/>
            </w:pPr>
            <w:r>
              <w:t xml:space="preserve">Typical Min / Max NTN beam foot print diameter (note 1) </w:t>
            </w:r>
          </w:p>
        </w:tc>
        <w:tc>
          <w:tcPr>
            <w:tcW w:w="3204" w:type="dxa"/>
            <w:gridSpan w:val="2"/>
            <w:noWrap w:val="0"/>
            <w:vAlign w:val="center"/>
          </w:tcPr>
          <w:p>
            <w:pPr>
              <w:pStyle w:val="45"/>
            </w:pPr>
            <w:r>
              <w:t>100 km / 3500</w:t>
            </w:r>
            <w:r>
              <w:rPr>
                <w:rFonts w:eastAsia="Calibri"/>
              </w:rPr>
              <w:t xml:space="preserve"> km</w:t>
            </w:r>
          </w:p>
        </w:tc>
        <w:tc>
          <w:tcPr>
            <w:tcW w:w="4046" w:type="dxa"/>
            <w:gridSpan w:val="4"/>
            <w:noWrap w:val="0"/>
            <w:vAlign w:val="center"/>
          </w:tcPr>
          <w:p>
            <w:pPr>
              <w:pStyle w:val="45"/>
            </w:pPr>
            <w:r>
              <w:t>50 km / 1000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jc w:val="center"/>
        </w:trPr>
        <w:tc>
          <w:tcPr>
            <w:tcW w:w="2106" w:type="dxa"/>
            <w:noWrap w:val="0"/>
            <w:vAlign w:val="center"/>
          </w:tcPr>
          <w:p>
            <w:pPr>
              <w:pStyle w:val="45"/>
            </w:pPr>
            <w:r>
              <w:t>Maximum propagation delay contribution to the Round Trip Delay on the radio interface between the gNB and the UE</w:t>
            </w:r>
          </w:p>
        </w:tc>
        <w:tc>
          <w:tcPr>
            <w:tcW w:w="1602" w:type="dxa"/>
            <w:noWrap w:val="0"/>
            <w:vAlign w:val="center"/>
          </w:tcPr>
          <w:p>
            <w:pPr>
              <w:pStyle w:val="45"/>
            </w:pPr>
            <w:r>
              <w:rPr>
                <w:rFonts w:eastAsia="Calibri"/>
              </w:rPr>
              <w:t>541.46 ms (</w:t>
            </w:r>
            <w:r>
              <w:t>Worst case)</w:t>
            </w:r>
          </w:p>
        </w:tc>
        <w:tc>
          <w:tcPr>
            <w:tcW w:w="1602" w:type="dxa"/>
            <w:noWrap w:val="0"/>
            <w:vAlign w:val="center"/>
          </w:tcPr>
          <w:p>
            <w:pPr>
              <w:pStyle w:val="45"/>
            </w:pPr>
            <w:r>
              <w:t>270.73 ms</w:t>
            </w:r>
          </w:p>
        </w:tc>
        <w:tc>
          <w:tcPr>
            <w:tcW w:w="1868" w:type="dxa"/>
            <w:gridSpan w:val="2"/>
            <w:noWrap w:val="0"/>
            <w:vAlign w:val="center"/>
          </w:tcPr>
          <w:p>
            <w:pPr>
              <w:pStyle w:val="45"/>
            </w:pPr>
            <w:r>
              <w:t>25.77 ms</w:t>
            </w:r>
          </w:p>
        </w:tc>
        <w:tc>
          <w:tcPr>
            <w:tcW w:w="2178" w:type="dxa"/>
            <w:gridSpan w:val="2"/>
            <w:noWrap w:val="0"/>
            <w:vAlign w:val="center"/>
          </w:tcPr>
          <w:p>
            <w:pPr>
              <w:pStyle w:val="45"/>
            </w:pPr>
            <w:r>
              <w:t>12.89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jc w:val="center"/>
        </w:trPr>
        <w:tc>
          <w:tcPr>
            <w:tcW w:w="2106" w:type="dxa"/>
            <w:noWrap w:val="0"/>
            <w:vAlign w:val="center"/>
          </w:tcPr>
          <w:p>
            <w:pPr>
              <w:pStyle w:val="45"/>
            </w:pPr>
            <w:r>
              <w:t>Minimum propagation delay contribution to the Round Trip Delay on the radio interface between the gNB and the UE</w:t>
            </w:r>
          </w:p>
        </w:tc>
        <w:tc>
          <w:tcPr>
            <w:tcW w:w="1602" w:type="dxa"/>
            <w:noWrap w:val="0"/>
            <w:vAlign w:val="center"/>
          </w:tcPr>
          <w:p>
            <w:pPr>
              <w:pStyle w:val="45"/>
            </w:pPr>
            <w:r>
              <w:rPr>
                <w:rFonts w:eastAsia="Calibri"/>
              </w:rPr>
              <w:t>477.48 ms</w:t>
            </w:r>
          </w:p>
        </w:tc>
        <w:tc>
          <w:tcPr>
            <w:tcW w:w="1602" w:type="dxa"/>
            <w:noWrap w:val="0"/>
            <w:vAlign w:val="center"/>
          </w:tcPr>
          <w:p>
            <w:pPr>
              <w:pStyle w:val="45"/>
            </w:pPr>
            <w:r>
              <w:t>238.74 ms</w:t>
            </w:r>
          </w:p>
        </w:tc>
        <w:tc>
          <w:tcPr>
            <w:tcW w:w="1868" w:type="dxa"/>
            <w:gridSpan w:val="2"/>
            <w:noWrap w:val="0"/>
            <w:vAlign w:val="center"/>
          </w:tcPr>
          <w:p>
            <w:pPr>
              <w:pStyle w:val="45"/>
            </w:pPr>
            <w:r>
              <w:t>8 ms</w:t>
            </w:r>
          </w:p>
        </w:tc>
        <w:tc>
          <w:tcPr>
            <w:tcW w:w="2178" w:type="dxa"/>
            <w:gridSpan w:val="2"/>
            <w:noWrap w:val="0"/>
            <w:vAlign w:val="center"/>
          </w:tcPr>
          <w:p>
            <w:pPr>
              <w:pStyle w:val="45"/>
            </w:pPr>
            <w:r>
              <w:t>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8" w:hRule="atLeast"/>
          <w:jc w:val="center"/>
        </w:trPr>
        <w:tc>
          <w:tcPr>
            <w:tcW w:w="2106" w:type="dxa"/>
            <w:noWrap w:val="0"/>
            <w:vAlign w:val="center"/>
          </w:tcPr>
          <w:p>
            <w:pPr>
              <w:pStyle w:val="45"/>
            </w:pPr>
            <w:r>
              <w:t>Maximum Round Trip Delay variation as seen by the UE</w:t>
            </w:r>
          </w:p>
          <w:p>
            <w:pPr>
              <w:pStyle w:val="45"/>
            </w:pPr>
            <w:r>
              <w:t>(note 2)</w:t>
            </w:r>
          </w:p>
        </w:tc>
        <w:tc>
          <w:tcPr>
            <w:tcW w:w="3204" w:type="dxa"/>
            <w:gridSpan w:val="2"/>
            <w:noWrap w:val="0"/>
            <w:vAlign w:val="center"/>
          </w:tcPr>
          <w:p>
            <w:pPr>
              <w:pStyle w:val="45"/>
            </w:pPr>
            <w:r>
              <w:t>Negligible</w:t>
            </w:r>
          </w:p>
        </w:tc>
        <w:tc>
          <w:tcPr>
            <w:tcW w:w="1868" w:type="dxa"/>
            <w:gridSpan w:val="2"/>
            <w:noWrap w:val="0"/>
            <w:vAlign w:val="center"/>
          </w:tcPr>
          <w:p>
            <w:pPr>
              <w:pStyle w:val="45"/>
            </w:pPr>
            <w:r>
              <w:t>Up to +/- 93.0 µs/sec (Worst case)</w:t>
            </w:r>
          </w:p>
        </w:tc>
        <w:tc>
          <w:tcPr>
            <w:tcW w:w="2178" w:type="dxa"/>
            <w:gridSpan w:val="2"/>
            <w:noWrap w:val="0"/>
            <w:vAlign w:val="center"/>
          </w:tcPr>
          <w:p>
            <w:pPr>
              <w:pStyle w:val="45"/>
            </w:pPr>
            <w:r>
              <w:t>Up to +/- 47.6 µs/sec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8" w:hRule="atLeast"/>
          <w:jc w:val="center"/>
        </w:trPr>
        <w:tc>
          <w:tcPr>
            <w:tcW w:w="9356" w:type="dxa"/>
            <w:gridSpan w:val="7"/>
            <w:tcBorders>
              <w:top w:val="single" w:color="auto" w:sz="4" w:space="0"/>
              <w:left w:val="single" w:color="auto" w:sz="4" w:space="0"/>
              <w:bottom w:val="single" w:color="auto" w:sz="4" w:space="0"/>
              <w:right w:val="single" w:color="auto" w:sz="4" w:space="0"/>
            </w:tcBorders>
            <w:noWrap w:val="0"/>
            <w:vAlign w:val="center"/>
          </w:tcPr>
          <w:p>
            <w:pPr>
              <w:pStyle w:val="58"/>
            </w:pPr>
            <w:r>
              <w:t>NOTE 1:</w:t>
            </w:r>
            <w:r>
              <w:tab/>
            </w:r>
            <w:r>
              <w:t>The beam foot print diameter are indicative. The diameter depends on the orbit, earth latitude, antenna design, and radio resource management strategy in a given system.</w:t>
            </w:r>
          </w:p>
          <w:p>
            <w:pPr>
              <w:pStyle w:val="58"/>
            </w:pPr>
            <w:r>
              <w:t>NOTE 2:</w:t>
            </w:r>
            <w:r>
              <w:tab/>
            </w:r>
            <w:r>
              <w:t>The delay variation measures how fast the round trip delay (function of UE-satellite-NTN gateway distance) varies over time. The worst case is when the satellite moves towards/away from the UE at 10</w:t>
            </w:r>
            <w:r>
              <w:rPr>
                <w:rFonts w:cs="Arial"/>
              </w:rPr>
              <w:t>⁰</w:t>
            </w:r>
            <w:r>
              <w:t xml:space="preserve"> elevation angle, assuming the UE speed is 1200 km/h. It is expressed in µs/s and is negligible for GEO scenario.</w:t>
            </w:r>
          </w:p>
          <w:p>
            <w:pPr>
              <w:pStyle w:val="58"/>
            </w:pPr>
            <w:r>
              <w:t>NOTE 3:</w:t>
            </w:r>
            <w:r>
              <w:tab/>
            </w:r>
            <w:r>
              <w:t>Void</w:t>
            </w:r>
          </w:p>
          <w:p>
            <w:pPr>
              <w:pStyle w:val="58"/>
            </w:pPr>
            <w:r>
              <w:t>NOTE 4:</w:t>
            </w:r>
            <w:r>
              <w:tab/>
            </w:r>
            <w:r>
              <w:t>Speed of light used for delay calculation is 299792458 m/s.</w:t>
            </w:r>
          </w:p>
        </w:tc>
      </w:tr>
    </w:tbl>
    <w:p>
      <w:pPr>
        <w:rPr>
          <w:rFonts w:hint="eastAsia"/>
          <w:sz w:val="22"/>
          <w:szCs w:val="22"/>
          <w:lang w:val="en-US" w:eastAsia="zh-CN"/>
        </w:rPr>
      </w:pPr>
      <w:r>
        <w:rPr>
          <w:rFonts w:hint="eastAsia"/>
          <w:sz w:val="22"/>
          <w:szCs w:val="22"/>
          <w:lang w:val="en-US" w:eastAsia="zh-CN"/>
        </w:rPr>
        <w:t xml:space="preserve">When discussing the location-based cell measurement, the time to HO for min/max cell diameter and varying UE speed should be considered, and the concrete values are listed in </w:t>
      </w:r>
      <w:r>
        <w:rPr>
          <w:rFonts w:hint="eastAsia"/>
          <w:b/>
          <w:bCs/>
          <w:sz w:val="22"/>
          <w:szCs w:val="22"/>
          <w:lang w:val="en-US" w:eastAsia="zh-CN"/>
        </w:rPr>
        <w:t>TS38.821</w:t>
      </w:r>
      <w:r>
        <w:rPr>
          <w:rFonts w:hint="eastAsia"/>
          <w:sz w:val="22"/>
          <w:szCs w:val="22"/>
          <w:lang w:val="en-US" w:eastAsia="zh-CN"/>
        </w:rPr>
        <w:t xml:space="preserve"> as below:</w:t>
      </w:r>
    </w:p>
    <w:p>
      <w:pPr>
        <w:jc w:val="center"/>
      </w:pPr>
      <w:r>
        <w:rPr>
          <w:b/>
          <w:bCs/>
        </w:rPr>
        <w:t>Table 7.1-1: NTN scenarios versus delay constraints, Source</w:t>
      </w:r>
    </w:p>
    <w:p>
      <w:pPr>
        <w:rPr>
          <w:rFonts w:hint="default"/>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lang w:val="en-US" w:eastAsia="zh-CN"/>
        </w:rPr>
      </w:pPr>
      <w:r>
        <w:rPr>
          <w:rFonts w:hint="eastAsia"/>
          <w:sz w:val="22"/>
          <w:szCs w:val="22"/>
          <w:lang w:val="en-US" w:eastAsia="zh-CN"/>
        </w:rPr>
        <w:t>If the cell diameter size is 50km, and we know that the speed of LEO600 is 7.56km per second, the time for current serving cell coverage</w:t>
      </w:r>
      <w:r>
        <w:rPr>
          <w:rFonts w:hint="eastAsia"/>
          <w:lang w:val="en-US" w:eastAsia="zh-CN"/>
        </w:rPr>
        <w:t xml:space="preserve"> can be calculated combined with the UE speed as below:</w:t>
      </w:r>
    </w:p>
    <w:p>
      <w:pPr>
        <w:keepNext w:val="0"/>
        <w:keepLines w:val="0"/>
        <w:pageBreakBefore w:val="0"/>
        <w:widowControl/>
        <w:numPr>
          <w:ilvl w:val="0"/>
          <w:numId w:val="12"/>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 xml:space="preserve">The movement speed combined with UE speed: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hAnsi="Cambria Math" w:cs="Times New Roman"/>
          <w:i w:val="0"/>
          <w:lang w:val="en-US" w:eastAsia="zh-CN" w:bidi="ar-SA"/>
        </w:rPr>
      </w:pPr>
      <m:oMathPara>
        <m:oMath>
          <m:r>
            <m:rPr>
              <m:sty m:val="p"/>
            </m:rPr>
            <w:rPr>
              <w:rFonts w:hint="default" w:ascii="Cambria Math" w:hAnsi="Cambria Math" w:cs="Times New Roman"/>
              <w:lang w:val="en-US" w:eastAsia="zh-CN" w:bidi="ar-SA"/>
            </w:rPr>
            <m:t>+500/3600+7.56=7.70 km/s</m:t>
          </m:r>
        </m:oMath>
      </m:oMathPara>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0" w:leftChars="0" w:firstLine="0" w:firstLineChars="0"/>
        <w:textAlignment w:val="auto"/>
        <w:rPr>
          <w:rFonts w:hint="default" w:hAnsi="Cambria Math" w:cs="Times New Roman"/>
          <w:i w:val="0"/>
          <w:lang w:val="en-US" w:eastAsia="zh-CN" w:bidi="ar-SA"/>
        </w:rPr>
      </w:pPr>
      <w:r>
        <w:rPr>
          <w:rFonts w:hint="eastAsia" w:hAnsi="Cambria Math" w:cs="Times New Roman"/>
          <w:i w:val="0"/>
          <w:lang w:val="en-US" w:eastAsia="zh-CN" w:bidi="ar-SA"/>
        </w:rPr>
        <w:t>The time for current serving cell coverage(min cell diameter):</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hAnsi="Cambria Math" w:cs="Times New Roman"/>
          <w:i w:val="0"/>
          <w:lang w:val="en-US" w:eastAsia="zh-CN" w:bidi="ar-SA"/>
        </w:rPr>
      </w:pPr>
      <m:oMathPara>
        <m:oMath>
          <m:r>
            <m:rPr>
              <m:sty m:val="p"/>
            </m:rPr>
            <w:rPr>
              <w:rFonts w:hint="default" w:ascii="Cambria Math" w:hAnsi="Cambria Math" w:cs="Times New Roman"/>
              <w:lang w:val="en-US" w:eastAsia="zh-CN" w:bidi="ar-SA"/>
            </w:rPr>
            <m:t>50/7.70=6.49s</m:t>
          </m:r>
        </m:oMath>
      </m:oMathPara>
    </w:p>
    <w:p>
      <w:pPr>
        <w:pStyle w:val="53"/>
        <w:jc w:val="center"/>
        <w:rPr>
          <w:rFonts w:hint="default" w:eastAsia="宋体"/>
          <w:sz w:val="22"/>
          <w:szCs w:val="22"/>
          <w:lang w:val="en-US" w:eastAsia="zh-CN"/>
        </w:rPr>
      </w:pPr>
      <w:r>
        <w:t xml:space="preserve">Table </w:t>
      </w:r>
      <w:r>
        <w:rPr>
          <w:rFonts w:hint="eastAsia" w:eastAsia="宋体"/>
          <w:lang w:val="en-US" w:eastAsia="zh-CN"/>
        </w:rPr>
        <w:t>2</w:t>
      </w:r>
      <w:r>
        <w:t xml:space="preserve">: Time </w:t>
      </w:r>
      <w:r>
        <w:rPr>
          <w:rFonts w:hint="eastAsia" w:eastAsia="宋体"/>
          <w:lang w:val="en-US" w:eastAsia="zh-CN"/>
        </w:rPr>
        <w:t xml:space="preserve">for current serving cell coverage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2430"/>
        <w:gridCol w:w="2394"/>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F2F2F2"/>
            <w:noWrap w:val="0"/>
            <w:vAlign w:val="top"/>
          </w:tcPr>
          <w:p>
            <w:pPr>
              <w:pStyle w:val="44"/>
            </w:pPr>
            <w:r>
              <w:t>Cell Diameter Size (km)</w:t>
            </w:r>
          </w:p>
        </w:tc>
        <w:tc>
          <w:tcPr>
            <w:tcW w:w="2430" w:type="dxa"/>
            <w:shd w:val="clear" w:color="auto" w:fill="F2F2F2"/>
            <w:noWrap w:val="0"/>
            <w:vAlign w:val="top"/>
          </w:tcPr>
          <w:p>
            <w:pPr>
              <w:pStyle w:val="44"/>
            </w:pPr>
            <w:r>
              <w:t>UE Speed (km/hr)</w:t>
            </w:r>
          </w:p>
        </w:tc>
        <w:tc>
          <w:tcPr>
            <w:tcW w:w="2394" w:type="dxa"/>
            <w:shd w:val="clear" w:color="auto" w:fill="F2F2F2"/>
            <w:noWrap w:val="0"/>
            <w:vAlign w:val="top"/>
          </w:tcPr>
          <w:p>
            <w:pPr>
              <w:pStyle w:val="44"/>
            </w:pPr>
            <w:r>
              <w:t>Satellite Speed (km/s)</w:t>
            </w:r>
          </w:p>
        </w:tc>
        <w:tc>
          <w:tcPr>
            <w:tcW w:w="2394" w:type="dxa"/>
            <w:shd w:val="clear" w:color="auto" w:fill="F2F2F2"/>
            <w:noWrap w:val="0"/>
            <w:vAlign w:val="top"/>
          </w:tcPr>
          <w:p>
            <w:pPr>
              <w:pStyle w:val="44"/>
            </w:pPr>
            <w:r>
              <w:t xml:space="preserve">Time </w:t>
            </w:r>
            <w:r>
              <w:rPr>
                <w:rFonts w:hint="eastAsia" w:eastAsia="宋体"/>
                <w:lang w:val="en-US" w:eastAsia="zh-CN"/>
              </w:rPr>
              <w:t>for current serving cell coverage</w:t>
            </w:r>
            <w:r>
              <w:t xml:space="preserve">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45"/>
            </w:pPr>
            <w:r>
              <w:t>50 (lower bound)</w:t>
            </w:r>
          </w:p>
        </w:tc>
        <w:tc>
          <w:tcPr>
            <w:tcW w:w="2430" w:type="dxa"/>
            <w:noWrap w:val="0"/>
            <w:vAlign w:val="top"/>
          </w:tcPr>
          <w:p>
            <w:pPr>
              <w:pStyle w:val="45"/>
            </w:pPr>
            <w:r>
              <w:t>+500</w:t>
            </w:r>
          </w:p>
        </w:tc>
        <w:tc>
          <w:tcPr>
            <w:tcW w:w="2394" w:type="dxa"/>
            <w:vMerge w:val="restart"/>
            <w:noWrap w:val="0"/>
            <w:vAlign w:val="center"/>
          </w:tcPr>
          <w:p>
            <w:pPr>
              <w:pStyle w:val="45"/>
            </w:pPr>
            <w:r>
              <w:t>7.56</w:t>
            </w:r>
          </w:p>
        </w:tc>
        <w:tc>
          <w:tcPr>
            <w:tcW w:w="2394" w:type="dxa"/>
            <w:noWrap w:val="0"/>
            <w:vAlign w:val="top"/>
          </w:tcPr>
          <w:p>
            <w:pPr>
              <w:pStyle w:val="45"/>
            </w:pPr>
            <w:r>
              <w:rPr>
                <w:highlight w:val="yellow"/>
              </w:rP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45"/>
            </w:pPr>
          </w:p>
        </w:tc>
        <w:tc>
          <w:tcPr>
            <w:tcW w:w="2430" w:type="dxa"/>
            <w:noWrap w:val="0"/>
            <w:vAlign w:val="top"/>
          </w:tcPr>
          <w:p>
            <w:pPr>
              <w:pStyle w:val="45"/>
            </w:pPr>
            <w:r>
              <w:t>-500</w:t>
            </w:r>
          </w:p>
        </w:tc>
        <w:tc>
          <w:tcPr>
            <w:tcW w:w="2394" w:type="dxa"/>
            <w:vMerge w:val="continue"/>
            <w:noWrap w:val="0"/>
            <w:vAlign w:val="top"/>
          </w:tcPr>
          <w:p>
            <w:pPr>
              <w:pStyle w:val="45"/>
            </w:pPr>
          </w:p>
        </w:tc>
        <w:tc>
          <w:tcPr>
            <w:tcW w:w="2394" w:type="dxa"/>
            <w:noWrap w:val="0"/>
            <w:vAlign w:val="top"/>
          </w:tcPr>
          <w:p>
            <w:pPr>
              <w:pStyle w:val="45"/>
            </w:pPr>
            <w: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45"/>
            </w:pPr>
          </w:p>
        </w:tc>
        <w:tc>
          <w:tcPr>
            <w:tcW w:w="2430" w:type="dxa"/>
            <w:noWrap w:val="0"/>
            <w:vAlign w:val="top"/>
          </w:tcPr>
          <w:p>
            <w:pPr>
              <w:pStyle w:val="45"/>
            </w:pPr>
            <w:r>
              <w:t>+1200</w:t>
            </w:r>
          </w:p>
        </w:tc>
        <w:tc>
          <w:tcPr>
            <w:tcW w:w="2394" w:type="dxa"/>
            <w:vMerge w:val="continue"/>
            <w:noWrap w:val="0"/>
            <w:vAlign w:val="top"/>
          </w:tcPr>
          <w:p>
            <w:pPr>
              <w:pStyle w:val="45"/>
            </w:pPr>
          </w:p>
        </w:tc>
        <w:tc>
          <w:tcPr>
            <w:tcW w:w="2394" w:type="dxa"/>
            <w:noWrap w:val="0"/>
            <w:vAlign w:val="top"/>
          </w:tcPr>
          <w:p>
            <w:pPr>
              <w:pStyle w:val="45"/>
            </w:pPr>
            <w: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45"/>
            </w:pPr>
          </w:p>
        </w:tc>
        <w:tc>
          <w:tcPr>
            <w:tcW w:w="2430" w:type="dxa"/>
            <w:noWrap w:val="0"/>
            <w:vAlign w:val="top"/>
          </w:tcPr>
          <w:p>
            <w:pPr>
              <w:pStyle w:val="45"/>
            </w:pPr>
            <w:r>
              <w:t>- 1200</w:t>
            </w:r>
          </w:p>
        </w:tc>
        <w:tc>
          <w:tcPr>
            <w:tcW w:w="2394" w:type="dxa"/>
            <w:vMerge w:val="continue"/>
            <w:noWrap w:val="0"/>
            <w:vAlign w:val="top"/>
          </w:tcPr>
          <w:p>
            <w:pPr>
              <w:pStyle w:val="45"/>
            </w:pPr>
          </w:p>
        </w:tc>
        <w:tc>
          <w:tcPr>
            <w:tcW w:w="2394" w:type="dxa"/>
            <w:noWrap w:val="0"/>
            <w:vAlign w:val="top"/>
          </w:tcPr>
          <w:p>
            <w:pPr>
              <w:pStyle w:val="45"/>
            </w:pPr>
            <w: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45"/>
            </w:pPr>
          </w:p>
        </w:tc>
        <w:tc>
          <w:tcPr>
            <w:tcW w:w="2430" w:type="dxa"/>
            <w:noWrap w:val="0"/>
            <w:vAlign w:val="top"/>
          </w:tcPr>
          <w:p>
            <w:pPr>
              <w:pStyle w:val="45"/>
            </w:pPr>
            <w:r>
              <w:t>Neglected</w:t>
            </w:r>
          </w:p>
        </w:tc>
        <w:tc>
          <w:tcPr>
            <w:tcW w:w="2394" w:type="dxa"/>
            <w:vMerge w:val="continue"/>
            <w:noWrap w:val="0"/>
            <w:vAlign w:val="top"/>
          </w:tcPr>
          <w:p>
            <w:pPr>
              <w:pStyle w:val="45"/>
            </w:pPr>
          </w:p>
        </w:tc>
        <w:tc>
          <w:tcPr>
            <w:tcW w:w="2394" w:type="dxa"/>
            <w:noWrap w:val="0"/>
            <w:vAlign w:val="top"/>
          </w:tcPr>
          <w:p>
            <w:pPr>
              <w:pStyle w:val="45"/>
            </w:pPr>
            <w: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45"/>
            </w:pPr>
            <w:r>
              <w:t>1000 (upper bound)</w:t>
            </w:r>
          </w:p>
        </w:tc>
        <w:tc>
          <w:tcPr>
            <w:tcW w:w="2430" w:type="dxa"/>
            <w:noWrap w:val="0"/>
            <w:vAlign w:val="top"/>
          </w:tcPr>
          <w:p>
            <w:pPr>
              <w:pStyle w:val="45"/>
            </w:pPr>
            <w:r>
              <w:t>+500</w:t>
            </w:r>
          </w:p>
        </w:tc>
        <w:tc>
          <w:tcPr>
            <w:tcW w:w="2394" w:type="dxa"/>
            <w:vMerge w:val="continue"/>
            <w:noWrap w:val="0"/>
            <w:vAlign w:val="top"/>
          </w:tcPr>
          <w:p>
            <w:pPr>
              <w:pStyle w:val="45"/>
            </w:pPr>
          </w:p>
        </w:tc>
        <w:tc>
          <w:tcPr>
            <w:tcW w:w="2394" w:type="dxa"/>
            <w:noWrap w:val="0"/>
            <w:vAlign w:val="top"/>
          </w:tcPr>
          <w:p>
            <w:pPr>
              <w:pStyle w:val="45"/>
            </w:pPr>
            <w:r>
              <w:t>129.89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45"/>
            </w:pPr>
          </w:p>
        </w:tc>
        <w:tc>
          <w:tcPr>
            <w:tcW w:w="2430" w:type="dxa"/>
            <w:noWrap w:val="0"/>
            <w:vAlign w:val="top"/>
          </w:tcPr>
          <w:p>
            <w:pPr>
              <w:pStyle w:val="45"/>
            </w:pPr>
            <w:r>
              <w:t>-500</w:t>
            </w:r>
          </w:p>
        </w:tc>
        <w:tc>
          <w:tcPr>
            <w:tcW w:w="2394" w:type="dxa"/>
            <w:vMerge w:val="continue"/>
            <w:noWrap w:val="0"/>
            <w:vAlign w:val="top"/>
          </w:tcPr>
          <w:p>
            <w:pPr>
              <w:pStyle w:val="45"/>
            </w:pPr>
          </w:p>
        </w:tc>
        <w:tc>
          <w:tcPr>
            <w:tcW w:w="2394" w:type="dxa"/>
            <w:noWrap w:val="0"/>
            <w:vAlign w:val="top"/>
          </w:tcPr>
          <w:p>
            <w:pPr>
              <w:pStyle w:val="45"/>
            </w:pPr>
            <w:r>
              <w:t>134.75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45"/>
            </w:pPr>
          </w:p>
        </w:tc>
        <w:tc>
          <w:tcPr>
            <w:tcW w:w="2430" w:type="dxa"/>
            <w:noWrap w:val="0"/>
            <w:vAlign w:val="top"/>
          </w:tcPr>
          <w:p>
            <w:pPr>
              <w:pStyle w:val="45"/>
            </w:pPr>
            <w:r>
              <w:t>+1200</w:t>
            </w:r>
          </w:p>
        </w:tc>
        <w:tc>
          <w:tcPr>
            <w:tcW w:w="2394" w:type="dxa"/>
            <w:vMerge w:val="continue"/>
            <w:noWrap w:val="0"/>
            <w:vAlign w:val="top"/>
          </w:tcPr>
          <w:p>
            <w:pPr>
              <w:pStyle w:val="45"/>
            </w:pPr>
          </w:p>
        </w:tc>
        <w:tc>
          <w:tcPr>
            <w:tcW w:w="2394" w:type="dxa"/>
            <w:noWrap w:val="0"/>
            <w:vAlign w:val="top"/>
          </w:tcPr>
          <w:p>
            <w:pPr>
              <w:pStyle w:val="45"/>
            </w:pPr>
            <w:r>
              <w:t>126.69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45"/>
            </w:pPr>
          </w:p>
        </w:tc>
        <w:tc>
          <w:tcPr>
            <w:tcW w:w="2430" w:type="dxa"/>
            <w:noWrap w:val="0"/>
            <w:vAlign w:val="top"/>
          </w:tcPr>
          <w:p>
            <w:pPr>
              <w:pStyle w:val="45"/>
            </w:pPr>
            <w:r>
              <w:t>- 1200</w:t>
            </w:r>
          </w:p>
        </w:tc>
        <w:tc>
          <w:tcPr>
            <w:tcW w:w="2394" w:type="dxa"/>
            <w:vMerge w:val="continue"/>
            <w:noWrap w:val="0"/>
            <w:vAlign w:val="top"/>
          </w:tcPr>
          <w:p>
            <w:pPr>
              <w:pStyle w:val="45"/>
            </w:pPr>
          </w:p>
        </w:tc>
        <w:tc>
          <w:tcPr>
            <w:tcW w:w="2394" w:type="dxa"/>
            <w:noWrap w:val="0"/>
            <w:vAlign w:val="top"/>
          </w:tcPr>
          <w:p>
            <w:pPr>
              <w:pStyle w:val="45"/>
            </w:pPr>
            <w:r>
              <w:t>138.38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45"/>
            </w:pPr>
          </w:p>
        </w:tc>
        <w:tc>
          <w:tcPr>
            <w:tcW w:w="2430" w:type="dxa"/>
            <w:noWrap w:val="0"/>
            <w:vAlign w:val="top"/>
          </w:tcPr>
          <w:p>
            <w:pPr>
              <w:pStyle w:val="45"/>
            </w:pPr>
            <w:r>
              <w:t>Neglected</w:t>
            </w:r>
          </w:p>
        </w:tc>
        <w:tc>
          <w:tcPr>
            <w:tcW w:w="2394" w:type="dxa"/>
            <w:vMerge w:val="continue"/>
            <w:noWrap w:val="0"/>
            <w:vAlign w:val="top"/>
          </w:tcPr>
          <w:p>
            <w:pPr>
              <w:pStyle w:val="45"/>
            </w:pPr>
          </w:p>
        </w:tc>
        <w:tc>
          <w:tcPr>
            <w:tcW w:w="2394" w:type="dxa"/>
            <w:noWrap w:val="0"/>
            <w:vAlign w:val="top"/>
          </w:tcPr>
          <w:p>
            <w:pPr>
              <w:pStyle w:val="45"/>
            </w:pPr>
            <w:r>
              <w:t>132.28</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In this paper the NTN LEO will be used as an assumption. As table7.1-1 shown, we mainly talk about the LEO transparent payload, the r</w:t>
      </w:r>
      <w:r>
        <w:rPr>
          <w:sz w:val="22"/>
          <w:szCs w:val="22"/>
        </w:rPr>
        <w:t>elative speed of Satellite with respect to earth</w:t>
      </w:r>
      <w:r>
        <w:rPr>
          <w:rFonts w:hint="eastAsia" w:eastAsia="宋体"/>
          <w:sz w:val="22"/>
          <w:szCs w:val="22"/>
          <w:lang w:val="en-US" w:eastAsia="zh-CN"/>
        </w:rPr>
        <w:t xml:space="preserve"> is 7.56km per second. The t</w:t>
      </w:r>
      <w:r>
        <w:rPr>
          <w:sz w:val="22"/>
          <w:szCs w:val="22"/>
        </w:rPr>
        <w:t xml:space="preserve">ypical Min / Max NTN beam foot print diameter </w:t>
      </w:r>
      <w:r>
        <w:rPr>
          <w:rFonts w:hint="eastAsia" w:eastAsia="宋体"/>
          <w:sz w:val="22"/>
          <w:szCs w:val="22"/>
          <w:lang w:val="en-US" w:eastAsia="zh-CN"/>
        </w:rPr>
        <w:t>is 50km/1000km. From the table 2 above, it can be seen that if the cell diameter size is 50km, combining with the UE speed the time for current serving cell for LEO has the max value 6.49s, that is, if UE starts to camp on a totally new neighbour NTN cell, the maximum detect time shall be smaller than around 6s.</w:t>
      </w:r>
    </w:p>
    <w:p>
      <w:pPr>
        <w:rPr>
          <w:rFonts w:hint="eastAsia"/>
          <w:sz w:val="22"/>
          <w:szCs w:val="22"/>
          <w:lang w:val="en-US" w:eastAsia="zh-CN"/>
        </w:rPr>
      </w:pPr>
      <w:r>
        <w:rPr>
          <w:rFonts w:hint="eastAsia"/>
          <w:sz w:val="22"/>
          <w:szCs w:val="22"/>
          <w:lang w:val="en-US" w:eastAsia="zh-CN"/>
        </w:rPr>
        <w:t>In this section, two scenarios should be considered:</w:t>
      </w:r>
    </w:p>
    <w:p>
      <w:pPr>
        <w:jc w:val="center"/>
        <w:rPr>
          <w:rFonts w:hint="default"/>
          <w:sz w:val="22"/>
          <w:szCs w:val="22"/>
          <w:lang w:val="en-US" w:eastAsia="zh-CN"/>
        </w:rPr>
      </w:pPr>
      <w:r>
        <w:rPr>
          <w:rFonts w:hint="default"/>
          <w:sz w:val="22"/>
          <w:szCs w:val="22"/>
          <w:lang w:val="en-US" w:eastAsia="zh-CN"/>
        </w:rPr>
        <w:drawing>
          <wp:inline distT="0" distB="0" distL="114300" distR="114300">
            <wp:extent cx="3121025" cy="3345180"/>
            <wp:effectExtent l="0" t="0" r="3175" b="0"/>
            <wp:docPr id="1" name="图片 1" descr="NTN-NTN场景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NTN-NTN场景一"/>
                    <pic:cNvPicPr>
                      <a:picLocks noChangeAspect="1"/>
                    </pic:cNvPicPr>
                  </pic:nvPicPr>
                  <pic:blipFill>
                    <a:blip r:embed="rId6"/>
                    <a:stretch>
                      <a:fillRect/>
                    </a:stretch>
                  </pic:blipFill>
                  <pic:spPr>
                    <a:xfrm>
                      <a:off x="0" y="0"/>
                      <a:ext cx="3121025" cy="3345180"/>
                    </a:xfrm>
                    <a:prstGeom prst="rect">
                      <a:avLst/>
                    </a:prstGeom>
                  </pic:spPr>
                </pic:pic>
              </a:graphicData>
            </a:graphic>
          </wp:inline>
        </w:drawing>
      </w:r>
    </w:p>
    <w:p>
      <w:pPr>
        <w:jc w:val="center"/>
        <w:rPr>
          <w:rFonts w:hint="default"/>
          <w:sz w:val="22"/>
          <w:szCs w:val="22"/>
          <w:lang w:val="en-US" w:eastAsia="zh-CN"/>
        </w:rPr>
      </w:pPr>
      <w:r>
        <w:rPr>
          <w:rFonts w:hint="eastAsia"/>
          <w:sz w:val="22"/>
          <w:szCs w:val="22"/>
          <w:lang w:val="en-US" w:eastAsia="zh-CN"/>
        </w:rPr>
        <w:t xml:space="preserve">Figure 1  Earth moving cell </w:t>
      </w:r>
      <w:r>
        <w:rPr>
          <w:rFonts w:hint="default" w:ascii="Calibri" w:hAnsi="Calibri" w:cs="Calibri"/>
          <w:sz w:val="18"/>
          <w:szCs w:val="18"/>
          <w:lang w:val="en-US" w:eastAsia="zh-CN"/>
        </w:rPr>
        <w:t>①</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The reference distance is the distance between the UE and the current NTN serving cell, and the reference point is in the current NTN serving cell. As the figure 1 shows us that the UE is at the cell edge of the current NTN serving cell when the new NTN serving cell appears and UE starts to camp on it. The reference point d1 moves to d2 because of satellite moving during T2-T1. Therefore, the UE in figure 1 has little time to measure, detect or evaluate on the neighbour NTN cell instantly based on the configured distance threshold.</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sz w:val="22"/>
          <w:szCs w:val="22"/>
          <w:lang w:val="en-US" w:eastAsia="zh-CN"/>
        </w:rPr>
      </w:pPr>
      <w:r>
        <w:rPr>
          <w:rFonts w:hint="default"/>
          <w:sz w:val="22"/>
          <w:szCs w:val="22"/>
          <w:lang w:val="en-US" w:eastAsia="zh-CN"/>
        </w:rPr>
        <w:drawing>
          <wp:inline distT="0" distB="0" distL="114300" distR="114300">
            <wp:extent cx="3121025" cy="3344545"/>
            <wp:effectExtent l="0" t="0" r="3175" b="0"/>
            <wp:docPr id="2" name="图片 2" descr="NTN-NTN场景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NTN-NTN场景二"/>
                    <pic:cNvPicPr>
                      <a:picLocks noChangeAspect="1"/>
                    </pic:cNvPicPr>
                  </pic:nvPicPr>
                  <pic:blipFill>
                    <a:blip r:embed="rId7"/>
                    <a:stretch>
                      <a:fillRect/>
                    </a:stretch>
                  </pic:blipFill>
                  <pic:spPr>
                    <a:xfrm>
                      <a:off x="0" y="0"/>
                      <a:ext cx="3121025" cy="3344545"/>
                    </a:xfrm>
                    <a:prstGeom prst="rect">
                      <a:avLst/>
                    </a:prstGeom>
                  </pic:spPr>
                </pic:pic>
              </a:graphicData>
            </a:graphic>
          </wp:inline>
        </w:drawing>
      </w:r>
    </w:p>
    <w:p>
      <w:pPr>
        <w:jc w:val="center"/>
        <w:rPr>
          <w:rFonts w:hint="default"/>
          <w:sz w:val="22"/>
          <w:szCs w:val="22"/>
          <w:lang w:val="en-US" w:eastAsia="zh-CN"/>
        </w:rPr>
      </w:pPr>
      <w:r>
        <w:rPr>
          <w:rFonts w:hint="eastAsia"/>
          <w:sz w:val="22"/>
          <w:szCs w:val="22"/>
          <w:lang w:val="en-US" w:eastAsia="zh-CN"/>
        </w:rPr>
        <w:t xml:space="preserve">Figure 2  Earth moving cell </w:t>
      </w:r>
      <w:r>
        <w:rPr>
          <w:rFonts w:hint="default" w:ascii="Calibri" w:hAnsi="Calibri" w:cs="Calibri"/>
          <w:sz w:val="18"/>
          <w:szCs w:val="18"/>
          <w:lang w:val="en-US" w:eastAsia="zh-CN"/>
        </w:rPr>
        <w:t>②</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In this scenario, the UE has enough time to camp on the new neighbour NTN cell and it has been at the cell edge of the new NTN cell. Although the UE can start to detect and do the measurement, according to cell re-selection conditions in</w:t>
      </w:r>
      <w:r>
        <w:rPr>
          <w:rFonts w:hint="eastAsia"/>
          <w:b/>
          <w:bCs/>
          <w:sz w:val="22"/>
          <w:szCs w:val="22"/>
          <w:lang w:val="en-US" w:eastAsia="zh-CN"/>
        </w:rPr>
        <w:t xml:space="preserve"> TS 38.133</w:t>
      </w:r>
      <w:r>
        <w:rPr>
          <w:rFonts w:hint="eastAsia"/>
          <w:sz w:val="22"/>
          <w:szCs w:val="22"/>
          <w:lang w:val="en-US" w:eastAsia="zh-CN"/>
        </w:rPr>
        <w:t xml:space="preserve"> as below, we shall consider the worst cases and consider if the conditions can be met under this scenario.</w:t>
      </w:r>
    </w:p>
    <w:p>
      <w:pPr>
        <w:pStyle w:val="53"/>
        <w:rPr>
          <w:rFonts w:hint="eastAsia"/>
          <w:sz w:val="22"/>
          <w:szCs w:val="22"/>
          <w:highlight w:val="none"/>
          <w:lang w:val="en-US" w:eastAsia="zh-CN"/>
        </w:rPr>
      </w:pPr>
      <w:r>
        <w:rPr>
          <w:highlight w:val="none"/>
        </w:rPr>
        <w:t>Table 4.2C.2.3-2: T</w:t>
      </w:r>
      <w:r>
        <w:rPr>
          <w:highlight w:val="none"/>
          <w:vertAlign w:val="subscript"/>
        </w:rPr>
        <w:t>detect,NR_Intra_enh,</w:t>
      </w:r>
      <w:r>
        <w:rPr>
          <w:highlight w:val="none"/>
        </w:rPr>
        <w:t xml:space="preserve"> T</w:t>
      </w:r>
      <w:r>
        <w:rPr>
          <w:highlight w:val="none"/>
          <w:vertAlign w:val="subscript"/>
        </w:rPr>
        <w:t>measure,NR_Intra_enh</w:t>
      </w:r>
      <w:r>
        <w:rPr>
          <w:highlight w:val="none"/>
        </w:rPr>
        <w:t xml:space="preserve"> and T</w:t>
      </w:r>
      <w:r>
        <w:rPr>
          <w:highlight w:val="none"/>
          <w:vertAlign w:val="subscript"/>
        </w:rPr>
        <w:t>evaluate,NR_Intra_enh</w:t>
      </w:r>
    </w:p>
    <w:tbl>
      <w:tblPr>
        <w:tblStyle w:val="2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45"/>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45"/>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45"/>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45"/>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45"/>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45"/>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45"/>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4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45"/>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4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4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45"/>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58"/>
              <w:rPr>
                <w:rFonts w:eastAsia="Malgun Gothic"/>
              </w:rPr>
            </w:pPr>
            <w:r>
              <w:rPr>
                <w:lang w:eastAsia="zh-CN"/>
              </w:rPr>
              <w:t>Note 1:</w:t>
            </w:r>
            <w:r>
              <w:rPr>
                <w:rFonts w:eastAsia="CG Times (WN)"/>
                <w:lang w:val="en-US"/>
              </w:rPr>
              <w:tab/>
            </w:r>
            <w:r>
              <w:t>W</w:t>
            </w:r>
            <w:r>
              <w:rPr>
                <w:lang w:eastAsia="zh-CN"/>
              </w:rPr>
              <w:t>hen SMTC &lt; = 40 ms, M2 = M3 = M4 = 1; and when SMTC &gt; 40 ms, M2 = 2, M3 = M4 = 2.5</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 xml:space="preserve">In TS 38.133, it says that the UE is not required to meet the requirements for 2.56s DRX cycle length for earth-moving LEO deployment. Therefore, we consider the worst cases for intra-frequency cell for cell re-selection in this scenario according to the current requirements. As the above table shown, if the DRX cycle length is 1.28s, the detect time will be 8.96s, and as we described above </w:t>
      </w:r>
      <w:r>
        <w:rPr>
          <w:rFonts w:hint="eastAsia" w:eastAsia="宋体"/>
          <w:sz w:val="22"/>
          <w:szCs w:val="22"/>
          <w:lang w:val="en-US" w:eastAsia="zh-CN"/>
        </w:rPr>
        <w:t>if UE starts to camp on a totally new neighbour NTN cell, the maximum detect time shall be smaller than around 6s. 8.96s&gt;6s, UE can not do the detection and the current location-based method and requirements can not be met in this scenario.</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b/>
          <w:bCs/>
          <w:sz w:val="22"/>
          <w:szCs w:val="22"/>
          <w:lang w:val="en-US" w:eastAsia="zh-CN"/>
        </w:rPr>
        <w:t>Observation 2: Both of two scenarios can not complete the cell re-selection based on the current requirements, so more information and parameters for cell re-selection shall be needed</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3: RAN4 shall consider to restrict the use of the values of DRX cycle for earth moving cell, e.g. for earth moving cell the DRX cycle shall be 0.64s or 0.32s.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sz w:val="22"/>
          <w:szCs w:val="22"/>
          <w:lang w:val="en-US" w:eastAsia="zh-CN"/>
        </w:rPr>
        <w:t xml:space="preserve">Proposal 4: </w:t>
      </w:r>
      <w:r>
        <w:rPr>
          <w:rFonts w:hint="eastAsia"/>
          <w:b/>
          <w:bCs/>
          <w:color w:val="000000"/>
          <w:sz w:val="22"/>
          <w:szCs w:val="22"/>
          <w:lang w:val="en-US" w:eastAsia="zh-CN"/>
        </w:rPr>
        <w:t>The current requirements for quasi-fixed cell shall be the baseline or the starting point when defining the requirements for earth moving cell.</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Proposal 5: Wait for more RAN2 outcomes on information and parameters to be used for the cell re-selection measurement.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b/>
          <w:bCs/>
          <w:sz w:val="22"/>
          <w:szCs w:val="22"/>
          <w:lang w:val="en-US" w:eastAsia="zh-CN"/>
        </w:rPr>
        <w:t xml:space="preserve">For the second bullet, </w:t>
      </w:r>
      <w:r>
        <w:rPr>
          <w:rFonts w:hint="eastAsia"/>
          <w:lang w:val="en-US" w:eastAsia="zh-CN"/>
        </w:rPr>
        <w:t>it</w:t>
      </w:r>
      <w:r>
        <w:rPr>
          <w:rFonts w:hint="eastAsia"/>
          <w:b/>
          <w:bCs/>
          <w:sz w:val="22"/>
          <w:szCs w:val="22"/>
          <w:lang w:val="en-US" w:eastAsia="zh-CN"/>
        </w:rPr>
        <w:t xml:space="preserve"> </w:t>
      </w:r>
      <w:r>
        <w:rPr>
          <w:rFonts w:eastAsiaTheme="minorEastAsia"/>
          <w:sz w:val="22"/>
          <w:szCs w:val="22"/>
          <w:lang w:eastAsia="zh-CN"/>
        </w:rPr>
        <w:t>is to specify cell reselection enhancements for RRC_IDLE/INACTIVE UEs to reduce UE power consumption</w:t>
      </w:r>
      <w:r>
        <w:rPr>
          <w:rFonts w:hint="eastAsia"/>
          <w:sz w:val="22"/>
          <w:szCs w:val="22"/>
          <w:lang w:val="en-US" w:eastAsia="zh-CN"/>
        </w:rPr>
        <w:t xml:space="preserve"> and the RAN2 has several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1"/>
              <w:numPr>
                <w:ilvl w:val="0"/>
                <w:numId w:val="0"/>
              </w:numPr>
              <w:overflowPunct w:val="0"/>
              <w:autoSpaceDE w:val="0"/>
              <w:autoSpaceDN w:val="0"/>
              <w:adjustRightInd w:val="0"/>
              <w:ind w:left="29" w:leftChars="0"/>
              <w:jc w:val="both"/>
              <w:textAlignment w:val="baseline"/>
              <w:rPr>
                <w:rFonts w:ascii="Times New Roman" w:hAnsi="Times New Roman" w:cs="Times New Roman"/>
                <w:sz w:val="20"/>
                <w:szCs w:val="20"/>
                <w:lang w:val="en-GB"/>
              </w:rPr>
            </w:pPr>
            <w:r>
              <w:rPr>
                <w:rFonts w:hint="eastAsia" w:eastAsia="宋体"/>
                <w:b/>
                <w:bCs/>
                <w:sz w:val="21"/>
                <w:szCs w:val="21"/>
                <w:lang w:val="en-US" w:eastAsia="zh-CN"/>
              </w:rPr>
              <w:t>In RAN2 #119bis meeting:</w:t>
            </w:r>
          </w:p>
          <w:p>
            <w:pPr>
              <w:pStyle w:val="72"/>
              <w:numPr>
                <w:ilvl w:val="0"/>
                <w:numId w:val="13"/>
              </w:numPr>
              <w:ind w:left="420" w:leftChars="0" w:hanging="420" w:firstLineChars="0"/>
              <w:rPr>
                <w:rFonts w:hint="eastAsia"/>
                <w:lang w:val="en-GB"/>
              </w:rPr>
            </w:pPr>
            <w:r>
              <w:rPr>
                <w:rFonts w:ascii="Times New Roman" w:hAnsi="Times New Roman" w:cs="Times New Roman"/>
                <w:sz w:val="20"/>
                <w:szCs w:val="20"/>
                <w:lang w:val="en-GB"/>
              </w:rPr>
              <w:t>To enhance NTN-TN cell reselection, means are defined for a UE to differentiate when camping in an area only covered by NTN network (earth-moving or earth-fixed) vs an area where TN network(s) is/are also available.</w:t>
            </w:r>
          </w:p>
          <w:p>
            <w:pPr>
              <w:pStyle w:val="72"/>
              <w:numPr>
                <w:ilvl w:val="0"/>
                <w:numId w:val="13"/>
              </w:numPr>
              <w:ind w:left="420" w:leftChars="0" w:hanging="420" w:firstLineChars="0"/>
              <w:rPr>
                <w:rFonts w:hint="default" w:ascii="Times New Roman" w:hAnsi="Times New Roman" w:eastAsia="宋体" w:cs="Times New Roman"/>
                <w:sz w:val="20"/>
                <w:szCs w:val="20"/>
                <w:lang w:val="en-US" w:eastAsia="zh-CN"/>
              </w:rPr>
            </w:pPr>
            <w:r>
              <w:rPr>
                <w:rFonts w:ascii="Times New Roman" w:hAnsi="Times New Roman" w:cs="Times New Roman"/>
                <w:sz w:val="20"/>
                <w:szCs w:val="20"/>
                <w:lang w:val="en-GB"/>
              </w:rPr>
              <w:t>UE is not required to perform neighbour cell measurements for TN neighbour cells in an area where there is no TN network coverage.</w:t>
            </w:r>
          </w:p>
          <w:p>
            <w:pPr>
              <w:pStyle w:val="72"/>
              <w:numPr>
                <w:ilvl w:val="0"/>
                <w:numId w:val="13"/>
              </w:numPr>
              <w:ind w:left="420" w:leftChars="0" w:hanging="420" w:firstLineChars="0"/>
              <w:rPr>
                <w:rFonts w:ascii="Times New Roman" w:hAnsi="Times New Roman" w:cs="Times New Roman"/>
                <w:sz w:val="20"/>
                <w:szCs w:val="20"/>
                <w:lang w:val="en-GB"/>
              </w:rPr>
            </w:pPr>
            <w:r>
              <w:rPr>
                <w:rFonts w:ascii="Times New Roman" w:hAnsi="Times New Roman" w:cs="Times New Roman"/>
                <w:sz w:val="20"/>
                <w:szCs w:val="20"/>
                <w:lang w:val="en-GB"/>
              </w:rPr>
              <w:t>RAN2 will first continue the investigation on the details of the TN coverage data (e.g. accuracy requirements for describing where TN network(s) is/are available) and UE storage overhead before deciding how to send the information to the UE.</w:t>
            </w:r>
          </w:p>
          <w:p>
            <w:pPr>
              <w:pStyle w:val="72"/>
              <w:numPr>
                <w:ilvl w:val="0"/>
                <w:numId w:val="13"/>
              </w:numPr>
              <w:ind w:left="420" w:leftChars="0" w:hanging="420" w:firstLineChars="0"/>
              <w:rPr>
                <w:rFonts w:ascii="Times New Roman" w:hAnsi="Times New Roman" w:cs="Times New Roman"/>
                <w:sz w:val="20"/>
                <w:szCs w:val="20"/>
                <w:lang w:val="en-GB"/>
              </w:rPr>
            </w:pPr>
            <w:r>
              <w:rPr>
                <w:rFonts w:ascii="Times New Roman" w:hAnsi="Times New Roman" w:cs="Times New Roman"/>
                <w:sz w:val="20"/>
                <w:szCs w:val="20"/>
                <w:lang w:val="en-GB"/>
              </w:rPr>
              <w:t>Continue the discussion on whether to introduce explicit indication to identify TN cells from inter-frequency list and inter-RAT frequency list (FFS on the granularity) or whether we rely on implicit information.</w:t>
            </w:r>
          </w:p>
          <w:p>
            <w:pPr>
              <w:pStyle w:val="21"/>
              <w:numPr>
                <w:ilvl w:val="0"/>
                <w:numId w:val="0"/>
              </w:numPr>
              <w:overflowPunct w:val="0"/>
              <w:autoSpaceDE w:val="0"/>
              <w:autoSpaceDN w:val="0"/>
              <w:adjustRightInd w:val="0"/>
              <w:ind w:left="29" w:leftChars="0"/>
              <w:jc w:val="both"/>
              <w:textAlignment w:val="baseline"/>
              <w:rPr>
                <w:rFonts w:ascii="Times New Roman" w:hAnsi="Times New Roman" w:cs="Times New Roman"/>
                <w:sz w:val="20"/>
                <w:szCs w:val="20"/>
                <w:lang w:val="en-GB"/>
              </w:rPr>
            </w:pPr>
            <w:r>
              <w:rPr>
                <w:rFonts w:hint="eastAsia" w:eastAsia="宋体"/>
                <w:b/>
                <w:bCs/>
                <w:sz w:val="21"/>
                <w:szCs w:val="21"/>
                <w:lang w:val="en-US" w:eastAsia="zh-CN"/>
              </w:rPr>
              <w:t>In RAN2 #120 meeting:</w:t>
            </w:r>
          </w:p>
          <w:p>
            <w:pPr>
              <w:numPr>
                <w:ilvl w:val="0"/>
                <w:numId w:val="14"/>
              </w:numPr>
              <w:ind w:left="420" w:leftChars="0" w:hanging="420" w:firstLineChars="0"/>
              <w:rPr>
                <w:rFonts w:hint="default"/>
                <w:vertAlign w:val="baseline"/>
                <w:lang w:val="en-US" w:eastAsia="zh-CN"/>
              </w:rPr>
            </w:pPr>
            <w:r>
              <w:rPr>
                <w:rFonts w:hint="default"/>
                <w:vertAlign w:val="baseline"/>
                <w:lang w:val="en-US" w:eastAsia="zh-CN"/>
              </w:rPr>
              <w:t>RAN2 will first continue the investigation on the details of the TN coverage data (e.g. accuracy requirements for describing where TN network(s) is/are available) and UE storage overhead before deciding how to send the information to the UE.</w:t>
            </w:r>
          </w:p>
          <w:p>
            <w:pPr>
              <w:numPr>
                <w:ilvl w:val="0"/>
                <w:numId w:val="14"/>
              </w:numPr>
              <w:ind w:left="420" w:leftChars="0" w:hanging="420" w:firstLineChars="0"/>
              <w:rPr>
                <w:rFonts w:hint="default"/>
                <w:vertAlign w:val="baseline"/>
                <w:lang w:val="en-US" w:eastAsia="zh-CN"/>
              </w:rPr>
            </w:pPr>
            <w:r>
              <w:rPr>
                <w:rFonts w:hint="default"/>
                <w:vertAlign w:val="baseline"/>
                <w:lang w:val="en-US" w:eastAsia="zh-CN"/>
              </w:rPr>
              <w:t>Continue the discussion on whether to introduce explicit indication to identify TN cells from inter-frequency list and inter-RAT frequency list (FFS on the granularity) or whether we rely on implicit information.</w:t>
            </w:r>
          </w:p>
          <w:p>
            <w:pPr>
              <w:pStyle w:val="21"/>
              <w:numPr>
                <w:ilvl w:val="0"/>
                <w:numId w:val="0"/>
              </w:numPr>
              <w:overflowPunct w:val="0"/>
              <w:autoSpaceDE w:val="0"/>
              <w:autoSpaceDN w:val="0"/>
              <w:adjustRightInd w:val="0"/>
              <w:ind w:left="29" w:leftChars="0"/>
              <w:jc w:val="both"/>
              <w:textAlignment w:val="baseline"/>
              <w:rPr>
                <w:rFonts w:ascii="Times New Roman" w:hAnsi="Times New Roman" w:cs="Times New Roman"/>
                <w:sz w:val="20"/>
                <w:szCs w:val="20"/>
                <w:lang w:val="en-GB"/>
              </w:rPr>
            </w:pPr>
            <w:r>
              <w:rPr>
                <w:rFonts w:hint="eastAsia" w:eastAsia="宋体"/>
                <w:b/>
                <w:bCs/>
                <w:sz w:val="21"/>
                <w:szCs w:val="21"/>
                <w:lang w:val="en-US" w:eastAsia="zh-CN"/>
              </w:rPr>
              <w:t>In RAN2 #121 meeting:</w:t>
            </w:r>
          </w:p>
          <w:p>
            <w:pPr>
              <w:numPr>
                <w:ilvl w:val="0"/>
                <w:numId w:val="15"/>
              </w:numPr>
              <w:ind w:left="420" w:leftChars="0" w:hanging="420" w:firstLineChars="0"/>
              <w:rPr>
                <w:highlight w:val="none"/>
              </w:rPr>
            </w:pPr>
            <w:r>
              <w:rPr>
                <w:highlight w:val="none"/>
              </w:rPr>
              <w:t>TN coverage area information will be associated to the frequency information.</w:t>
            </w:r>
          </w:p>
          <w:p>
            <w:pPr>
              <w:numPr>
                <w:ilvl w:val="0"/>
                <w:numId w:val="15"/>
              </w:numPr>
              <w:ind w:left="420" w:leftChars="0" w:hanging="420" w:firstLineChars="0"/>
              <w:rPr>
                <w:highlight w:val="none"/>
              </w:rPr>
            </w:pPr>
            <w:r>
              <w:rPr>
                <w:highlight w:val="none"/>
              </w:rPr>
              <w:t>RAN2 adopts explicit description of geographical TN area, and focuses on the following options for further discussion, taking the signalling overhead into account (FFS on the accuracy of the information):</w:t>
            </w:r>
          </w:p>
          <w:p>
            <w:pPr>
              <w:pStyle w:val="72"/>
              <w:numPr>
                <w:ilvl w:val="0"/>
                <w:numId w:val="0"/>
              </w:numPr>
              <w:ind w:left="660" w:leftChars="330" w:firstLine="0" w:firstLineChars="0"/>
              <w:rPr>
                <w:highlight w:val="none"/>
              </w:rPr>
            </w:pPr>
            <w:r>
              <w:rPr>
                <w:highlight w:val="none"/>
              </w:rPr>
              <w:t>Option 1: The corresponding geographical area information is provided by network with location coordinates of area center and radius.</w:t>
            </w:r>
          </w:p>
          <w:p>
            <w:pPr>
              <w:pStyle w:val="72"/>
              <w:numPr>
                <w:ilvl w:val="0"/>
                <w:numId w:val="0"/>
              </w:numPr>
              <w:ind w:left="660" w:leftChars="330" w:firstLine="0" w:firstLineChars="0"/>
              <w:rPr>
                <w:highlight w:val="none"/>
              </w:rPr>
            </w:pPr>
            <w:r>
              <w:rPr>
                <w:highlight w:val="none"/>
              </w:rPr>
              <w:t>Option 2: a boundary line is provided by network in the format of a list of location coordinates, additionally an indication can be used to indicate which side is the TN side</w:t>
            </w:r>
          </w:p>
          <w:p>
            <w:pPr>
              <w:numPr>
                <w:ilvl w:val="0"/>
                <w:numId w:val="0"/>
              </w:numPr>
              <w:ind w:left="600" w:leftChars="300" w:firstLine="0" w:firstLineChars="0"/>
              <w:rPr>
                <w:highlight w:val="none"/>
              </w:rPr>
            </w:pPr>
            <w:r>
              <w:rPr>
                <w:highlight w:val="none"/>
              </w:rPr>
              <w:t xml:space="preserve">Option 6: for each TN area, a list of locations is provided by network, and the corresponding close shape </w:t>
            </w:r>
            <w:r>
              <w:rPr>
                <w:rFonts w:hint="eastAsia" w:eastAsia="宋体"/>
                <w:highlight w:val="none"/>
                <w:lang w:val="en-US" w:eastAsia="zh-CN"/>
              </w:rPr>
              <w:t xml:space="preserve">  </w:t>
            </w:r>
            <w:r>
              <w:rPr>
                <w:highlight w:val="none"/>
              </w:rPr>
              <w:t>could be illustrated by a polygon connecting these points within the list.</w:t>
            </w:r>
          </w:p>
          <w:p>
            <w:pPr>
              <w:numPr>
                <w:ilvl w:val="0"/>
                <w:numId w:val="15"/>
              </w:numPr>
              <w:ind w:left="420" w:leftChars="0" w:hanging="420" w:firstLineChars="0"/>
              <w:rPr>
                <w:rFonts w:hint="default"/>
                <w:vertAlign w:val="baseline"/>
                <w:lang w:val="en-US" w:eastAsia="zh-CN"/>
              </w:rPr>
            </w:pPr>
            <w:r>
              <w:rPr>
                <w:highlight w:val="none"/>
              </w:rPr>
              <w:t>We don’t introduce additional cell reselection prioritization rules for NTN vs TN in Rel-18 (e.g. per service type, per mobility state, or per UE type) on top of what specified in Rel-17</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default"/>
          <w:sz w:val="22"/>
          <w:szCs w:val="22"/>
          <w:lang w:val="en-US" w:eastAsia="zh-CN"/>
        </w:rPr>
        <w:t xml:space="preserve">The conclusion of RAN2 is that TN coverage will be broadcast in NTN, but the specific granularity has not yet been determined. However, considering that the </w:t>
      </w:r>
      <w:r>
        <w:rPr>
          <w:rFonts w:hint="eastAsia"/>
          <w:sz w:val="22"/>
          <w:szCs w:val="22"/>
          <w:lang w:val="en-US" w:eastAsia="zh-CN"/>
        </w:rPr>
        <w:t>system information</w:t>
      </w:r>
      <w:r>
        <w:rPr>
          <w:rFonts w:hint="default"/>
          <w:sz w:val="22"/>
          <w:szCs w:val="22"/>
          <w:lang w:val="en-US" w:eastAsia="zh-CN"/>
        </w:rPr>
        <w:t xml:space="preserve"> is delivered through broadcast, there is a high probability that it will not be broadcast per cell. A broadcast TN coverage area may contain one or more TN cells, and the specific aggregation depends on the network implementation. The reason is that the size of the SI may be too large for broadcast cell granularity information. The second reason is to avoid exposing the location of the base station</w:t>
      </w:r>
      <w:r>
        <w:rPr>
          <w:rFonts w:hint="eastAsia"/>
          <w:sz w:val="22"/>
          <w:szCs w:val="22"/>
          <w:lang w:val="en-US" w:eastAsia="zh-CN"/>
        </w:rPr>
        <w:t>. And the scenario discussed in RAN2 is that the UE resides in NTN, and then in areas without TN coverage, there is no need to perform adjacent measurement of TN frequency points, that is, the UE will still reside on NTN, and the premise for triggering the location-based cell re-selection measurement is that the UE currently resides in NTN since the relevant parameters are broadcast in SIB19. So in areas without TN network coverage, UE does not need to measure in TN neighboring cells, thereby achieving the goal of power saving.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 xml:space="preserve">Secondly,  we have three scenarios as below: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sz w:val="22"/>
          <w:szCs w:val="22"/>
          <w:lang w:val="en-US" w:eastAsia="zh-CN"/>
        </w:rPr>
      </w:pPr>
      <w:r>
        <w:rPr>
          <w:rFonts w:hint="default"/>
          <w:sz w:val="22"/>
          <w:szCs w:val="22"/>
          <w:lang w:val="en-US" w:eastAsia="zh-CN"/>
        </w:rPr>
        <w:drawing>
          <wp:inline distT="0" distB="0" distL="114300" distR="114300">
            <wp:extent cx="4455160" cy="3011805"/>
            <wp:effectExtent l="0" t="0" r="0" b="0"/>
            <wp:docPr id="3" name="图片 3" descr="NTN-TN_总场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TN-TN_总场景"/>
                    <pic:cNvPicPr>
                      <a:picLocks noChangeAspect="1"/>
                    </pic:cNvPicPr>
                  </pic:nvPicPr>
                  <pic:blipFill>
                    <a:blip r:embed="rId8"/>
                    <a:stretch>
                      <a:fillRect/>
                    </a:stretch>
                  </pic:blipFill>
                  <pic:spPr>
                    <a:xfrm>
                      <a:off x="0" y="0"/>
                      <a:ext cx="4455160" cy="301180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3300" w:firstLineChars="1500"/>
        <w:jc w:val="both"/>
        <w:textAlignment w:val="auto"/>
        <w:rPr>
          <w:rFonts w:hint="eastAsia"/>
          <w:sz w:val="22"/>
          <w:szCs w:val="22"/>
          <w:lang w:val="en-US" w:eastAsia="zh-CN"/>
        </w:rPr>
      </w:pPr>
      <w:r>
        <w:rPr>
          <w:rFonts w:hint="eastAsia"/>
          <w:sz w:val="22"/>
          <w:szCs w:val="22"/>
          <w:lang w:val="en-US" w:eastAsia="zh-CN"/>
        </w:rPr>
        <w:t>Figure 3  NTN-TN scenarios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 xml:space="preserve">Based on the agreements and conclusions from RAN2, scenario (c) whether the UE can do the measurement in TN neighbouring cell or not which is up to the NW implementation.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As for scenario (b) the partial overlap between the TN coverage and the NTN coverage. As we all know that for NTN/TN UE the cell re-selection measurement for TN neighbouring cell measurement has the higher priority, but for this scenario the UE is close to TN coverage but camp on the NTN cell, there is one point that is contradictory that whether the UE measure the TN neighbour cell. If the UE measure the TN neighbouring cell the power saving maybe not be met, on the contrary, if the UE is still in the NTN cell and doesn</w:t>
      </w:r>
      <w:r>
        <w:rPr>
          <w:rFonts w:hint="default"/>
          <w:sz w:val="22"/>
          <w:szCs w:val="22"/>
          <w:lang w:val="en-US" w:eastAsia="zh-CN"/>
        </w:rPr>
        <w:t>’</w:t>
      </w:r>
      <w:r>
        <w:rPr>
          <w:rFonts w:hint="eastAsia"/>
          <w:sz w:val="22"/>
          <w:szCs w:val="22"/>
          <w:lang w:val="en-US" w:eastAsia="zh-CN"/>
        </w:rPr>
        <w:t>t perform TN neighbouring cell measurement, it can save the power consumption but how about the higher priority for TN neighbouring cell measurement. The same situation as scenario (a) full overlap between the TN coverage and the NTN coverage.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Therefore, we deem that more RAN2 outcomes shall be needed and RAN4 can send LS to RAN2 to consider the scenario (a) and scenario (b) and let RAN2 provide the additional information for NTN-TN mobility so as to save the power saving, if necessary.</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3: As for scenario the partial and full overlap between the TN coverage and the NTN coverage, if the UE measure the TN neighbouring cell the power saving maybe not be met, on the contrary, if the UE is still in the NTN cell and doesn</w:t>
      </w:r>
      <w:r>
        <w:rPr>
          <w:rFonts w:hint="default"/>
          <w:b/>
          <w:bCs/>
          <w:sz w:val="22"/>
          <w:szCs w:val="22"/>
          <w:lang w:val="en-US" w:eastAsia="zh-CN"/>
        </w:rPr>
        <w:t>’</w:t>
      </w:r>
      <w:r>
        <w:rPr>
          <w:rFonts w:hint="eastAsia"/>
          <w:b/>
          <w:bCs/>
          <w:sz w:val="22"/>
          <w:szCs w:val="22"/>
          <w:lang w:val="en-US" w:eastAsia="zh-CN"/>
        </w:rPr>
        <w:t>t perform TN neighbouring cell measurement, it can save the power consumption but how about the higher priority for TN neighbouring cell measurement.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6: RAN4 to discuss potential RRM impacts for NTN-TN mobility when there are enough outcomes in RAN2.</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7: RAN4 can send LS to RAN2 to consider the scenario that the partial and full overlap between the TN coverage and the NTN coverage and let RAN2 provide the additional information for NTN-TN mobility so as to save the power consumption, if necessary.</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spacing w:before="120" w:after="120"/>
        <w:rPr>
          <w:rFonts w:hint="default" w:eastAsia="宋体"/>
          <w:b/>
          <w:bCs/>
          <w:sz w:val="24"/>
          <w:szCs w:val="24"/>
          <w:lang w:val="en-US" w:eastAsia="zh-CN"/>
        </w:rPr>
      </w:pPr>
      <w:r>
        <w:rPr>
          <w:rFonts w:hint="eastAsia" w:eastAsia="宋体"/>
          <w:b/>
          <w:bCs/>
          <w:sz w:val="24"/>
          <w:szCs w:val="24"/>
          <w:lang w:val="en-US" w:eastAsia="zh-CN"/>
        </w:rPr>
        <w:t>Observations: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1: For earth-moving cell, the location-based cell measurement rules of quasi-fixed cell is reused.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b/>
          <w:bCs/>
          <w:sz w:val="22"/>
          <w:szCs w:val="22"/>
          <w:lang w:val="en-US" w:eastAsia="zh-CN"/>
        </w:rPr>
        <w:t>Observation 2: Both of two scenarios can not complete the cell re-selection based on the current requirements, so more information and parameters for cell re-selection shall be needed</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3: As for scenario the partial and full overlap between the TN coverage and the NTN coverage, if the UE measure the TN neighbouring cell the power saving maybe not be met, on the contrary, if the UE is still in the NTN cell and doesn</w:t>
      </w:r>
      <w:r>
        <w:rPr>
          <w:rFonts w:hint="default"/>
          <w:b/>
          <w:bCs/>
          <w:sz w:val="22"/>
          <w:szCs w:val="22"/>
          <w:lang w:val="en-US" w:eastAsia="zh-CN"/>
        </w:rPr>
        <w:t>’</w:t>
      </w:r>
      <w:r>
        <w:rPr>
          <w:rFonts w:hint="eastAsia"/>
          <w:b/>
          <w:bCs/>
          <w:sz w:val="22"/>
          <w:szCs w:val="22"/>
          <w:lang w:val="en-US" w:eastAsia="zh-CN"/>
        </w:rPr>
        <w:t>t perform TN neighbouring cell measurement, it can save the power consumption but how about the higher priority for TN neighbouring cell measurement.</w:t>
      </w:r>
    </w:p>
    <w:p>
      <w:pPr>
        <w:spacing w:before="120" w:after="120"/>
        <w:rPr>
          <w:rFonts w:eastAsia="宋体"/>
          <w:lang w:eastAsia="zh-CN"/>
        </w:rPr>
      </w:pPr>
    </w:p>
    <w:p>
      <w:pPr>
        <w:spacing w:before="120" w:after="120"/>
        <w:rPr>
          <w:rFonts w:hint="eastAsia" w:eastAsia="宋体"/>
          <w:b/>
          <w:bCs/>
          <w:sz w:val="24"/>
          <w:szCs w:val="24"/>
          <w:lang w:val="en-US" w:eastAsia="zh-CN"/>
        </w:rPr>
      </w:pPr>
      <w:r>
        <w:rPr>
          <w:rFonts w:hint="eastAsia" w:eastAsia="宋体"/>
          <w:b/>
          <w:bCs/>
          <w:sz w:val="24"/>
          <w:szCs w:val="24"/>
          <w:lang w:val="en-US" w:eastAsia="zh-CN"/>
        </w:rPr>
        <w:t>Proposals: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ascii="Times New Roman" w:hAnsi="Times New Roman" w:eastAsia="等线" w:cs="Times New Roman"/>
          <w:b/>
          <w:bCs/>
          <w:color w:val="000000"/>
          <w:kern w:val="2"/>
          <w:sz w:val="22"/>
          <w:szCs w:val="22"/>
          <w:lang w:val="en-US" w:eastAsia="zh-CN" w:bidi="ar-SA"/>
        </w:rPr>
      </w:pPr>
      <w:r>
        <w:rPr>
          <w:rFonts w:hint="eastAsia" w:ascii="Times New Roman" w:hAnsi="Times New Roman" w:eastAsia="等线" w:cs="Times New Roman"/>
          <w:b/>
          <w:bCs/>
          <w:color w:val="000000"/>
          <w:kern w:val="2"/>
          <w:sz w:val="22"/>
          <w:szCs w:val="22"/>
          <w:lang w:val="en-US" w:eastAsia="zh-CN" w:bidi="ar-SA"/>
        </w:rPr>
        <w:t>Proposal 1: RAN4 shall wait for the substantive progress from RAN1/RAN2.</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color w:val="000000"/>
          <w:sz w:val="22"/>
          <w:szCs w:val="22"/>
          <w:lang w:val="en-US" w:eastAsia="zh-CN"/>
        </w:rPr>
        <w:t xml:space="preserve">Proposal 2: The current requirements for FR1 shall be the baseline or the starting point when RAN4 defines the requirements for NR NTN in above 10GHz.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3: RAN4 shall consider to restrict the use of the values of DRX cycle for earth moving cell, e.g. for earth moving cell the DRX cycle shall be 0.64s or 0.32s.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sz w:val="22"/>
          <w:szCs w:val="22"/>
          <w:lang w:val="en-US" w:eastAsia="zh-CN"/>
        </w:rPr>
        <w:t xml:space="preserve">Proposal 4: </w:t>
      </w:r>
      <w:r>
        <w:rPr>
          <w:rFonts w:hint="eastAsia"/>
          <w:b/>
          <w:bCs/>
          <w:color w:val="000000"/>
          <w:sz w:val="22"/>
          <w:szCs w:val="22"/>
          <w:lang w:val="en-US" w:eastAsia="zh-CN"/>
        </w:rPr>
        <w:t>The current requirements for quasi-fixed cell shall be the baseline or the starting point when defining the requirements for earth moving cell.</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Proposal 5: Wait for more RAN2 outcomes on information and parameters to be used for the cell re-selection measurement.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6: RAN4 to discuss potential RRM impacts for NTN-TN mobility when there are enough outcomes in RAN2.</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7: RAN4 can send LS to RAN2 to consider the scenario that the partial and full overlap between the TN coverage and the NTN coverage and let RAN2 provide the additional information for NTN-TN mobility so as to save the power consumption, if necessary.</w:t>
      </w:r>
    </w:p>
    <w:p>
      <w:pPr>
        <w:pStyle w:val="76"/>
        <w:numPr>
          <w:ilvl w:val="0"/>
          <w:numId w:val="0"/>
        </w:numPr>
        <w:ind w:left="360" w:hanging="360"/>
        <w:rPr>
          <w:lang w:val="en-US"/>
        </w:rPr>
      </w:pPr>
      <w:r>
        <w:rPr>
          <w:lang w:val="en-US"/>
        </w:rPr>
        <w:t>References</w:t>
      </w:r>
    </w:p>
    <w:p>
      <w:pPr>
        <w:rPr>
          <w:rFonts w:hint="default"/>
          <w:lang w:val="en-US"/>
        </w:rPr>
      </w:pPr>
      <w:bookmarkStart w:id="0" w:name="_Ref114500673"/>
      <w:bookmarkEnd w:id="0"/>
      <w:r>
        <w:rPr>
          <w:rFonts w:hint="eastAsia" w:eastAsia="宋体"/>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pPr>
        <w:rPr>
          <w:rFonts w:hint="eastAsia"/>
          <w:lang w:val="en-US" w:eastAsia="zh-CN"/>
        </w:rPr>
      </w:pPr>
      <w:r>
        <w:rPr>
          <w:rFonts w:hint="eastAsia"/>
          <w:lang w:val="en-US" w:eastAsia="zh-CN"/>
        </w:rPr>
        <w:t>[2] R4-2303238, WF on NR NTN enhancement RRM requirements, Qualcomm.</w:t>
      </w:r>
    </w:p>
    <w:p>
      <w:pPr>
        <w:rPr>
          <w:rFonts w:hint="eastAsia"/>
          <w:lang w:val="en-US" w:eastAsia="zh-CN"/>
        </w:rPr>
      </w:pPr>
      <w:r>
        <w:rPr>
          <w:rFonts w:hint="eastAsia"/>
          <w:lang w:val="en-US" w:eastAsia="zh-CN"/>
        </w:rPr>
        <w:t>[3] R4-2301340, Discussion on RRM requirements for NTN enhancement, Vivo.</w:t>
      </w:r>
    </w:p>
    <w:p>
      <w:pPr>
        <w:rPr>
          <w:rFonts w:hint="default"/>
          <w:lang w:val="en-US" w:eastAsia="zh-CN"/>
        </w:rPr>
      </w:pPr>
      <w:r>
        <w:rPr>
          <w:rFonts w:hint="eastAsia"/>
          <w:lang w:val="en-US" w:eastAsia="zh-CN"/>
        </w:rPr>
        <w:t>[4] R4-2301982, Initial discussion on RRM requirements for Rel-18 NTN, Huawei.</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3AFD0"/>
    <w:multiLevelType w:val="singleLevel"/>
    <w:tmpl w:val="9833AFD0"/>
    <w:lvl w:ilvl="0" w:tentative="0">
      <w:start w:val="1"/>
      <w:numFmt w:val="bullet"/>
      <w:lvlText w:val=""/>
      <w:lvlJc w:val="left"/>
      <w:pPr>
        <w:ind w:left="420" w:leftChars="0" w:hanging="420" w:firstLineChars="0"/>
      </w:pPr>
      <w:rPr>
        <w:rFonts w:hint="default" w:ascii="Wingdings" w:hAnsi="Wingdings"/>
      </w:rPr>
    </w:lvl>
  </w:abstractNum>
  <w:abstractNum w:abstractNumId="1">
    <w:nsid w:val="99692C75"/>
    <w:multiLevelType w:val="singleLevel"/>
    <w:tmpl w:val="99692C75"/>
    <w:lvl w:ilvl="0" w:tentative="0">
      <w:start w:val="1"/>
      <w:numFmt w:val="bullet"/>
      <w:lvlText w:val=""/>
      <w:lvlJc w:val="left"/>
      <w:pPr>
        <w:ind w:left="420" w:hanging="420"/>
      </w:pPr>
      <w:rPr>
        <w:rFonts w:hint="default" w:ascii="Wingdings" w:hAnsi="Wingdings"/>
      </w:rPr>
    </w:lvl>
  </w:abstractNum>
  <w:abstractNum w:abstractNumId="2">
    <w:nsid w:val="BD5BA5E1"/>
    <w:multiLevelType w:val="singleLevel"/>
    <w:tmpl w:val="BD5BA5E1"/>
    <w:lvl w:ilvl="0" w:tentative="0">
      <w:start w:val="1"/>
      <w:numFmt w:val="bullet"/>
      <w:lvlText w:val=""/>
      <w:lvlJc w:val="left"/>
      <w:pPr>
        <w:ind w:left="420" w:hanging="420"/>
      </w:pPr>
      <w:rPr>
        <w:rFonts w:hint="default" w:ascii="Wingdings" w:hAnsi="Wingdings"/>
      </w:rPr>
    </w:lvl>
  </w:abstractNum>
  <w:abstractNum w:abstractNumId="3">
    <w:nsid w:val="C9C7DE5A"/>
    <w:multiLevelType w:val="singleLevel"/>
    <w:tmpl w:val="C9C7DE5A"/>
    <w:lvl w:ilvl="0" w:tentative="0">
      <w:start w:val="1"/>
      <w:numFmt w:val="bullet"/>
      <w:lvlText w:val=""/>
      <w:lvlJc w:val="left"/>
      <w:pPr>
        <w:ind w:left="420" w:hanging="420"/>
      </w:pPr>
      <w:rPr>
        <w:rFonts w:hint="default" w:ascii="Wingdings" w:hAnsi="Wingdings"/>
      </w:rPr>
    </w:lvl>
  </w:abstractNum>
  <w:abstractNum w:abstractNumId="4">
    <w:nsid w:val="E5B2E94B"/>
    <w:multiLevelType w:val="singleLevel"/>
    <w:tmpl w:val="E5B2E94B"/>
    <w:lvl w:ilvl="0" w:tentative="0">
      <w:start w:val="1"/>
      <w:numFmt w:val="bullet"/>
      <w:lvlText w:val=""/>
      <w:lvlJc w:val="left"/>
      <w:pPr>
        <w:ind w:left="420" w:hanging="420"/>
      </w:pPr>
      <w:rPr>
        <w:rFonts w:hint="default" w:ascii="Wingdings" w:hAnsi="Wingdings"/>
      </w:rPr>
    </w:lvl>
  </w:abstractNum>
  <w:abstractNum w:abstractNumId="5">
    <w:nsid w:val="F994BEF6"/>
    <w:multiLevelType w:val="singleLevel"/>
    <w:tmpl w:val="F994BEF6"/>
    <w:lvl w:ilvl="0" w:tentative="0">
      <w:start w:val="1"/>
      <w:numFmt w:val="bullet"/>
      <w:lvlText w:val=""/>
      <w:lvlJc w:val="left"/>
      <w:pPr>
        <w:ind w:left="420" w:hanging="420"/>
      </w:pPr>
      <w:rPr>
        <w:rFonts w:hint="default" w:ascii="Wingdings" w:hAnsi="Wingdings"/>
      </w:rPr>
    </w:lvl>
  </w:abstractNum>
  <w:abstractNum w:abstractNumId="6">
    <w:nsid w:val="091FEBE7"/>
    <w:multiLevelType w:val="singleLevel"/>
    <w:tmpl w:val="091FEBE7"/>
    <w:lvl w:ilvl="0" w:tentative="0">
      <w:start w:val="1"/>
      <w:numFmt w:val="decimal"/>
      <w:suff w:val="space"/>
      <w:lvlText w:val="%1."/>
      <w:lvlJc w:val="left"/>
    </w:lvl>
  </w:abstractNum>
  <w:abstractNum w:abstractNumId="7">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9">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0">
    <w:nsid w:val="6D5E1313"/>
    <w:multiLevelType w:val="singleLevel"/>
    <w:tmpl w:val="6D5E1313"/>
    <w:lvl w:ilvl="0" w:tentative="0">
      <w:start w:val="1"/>
      <w:numFmt w:val="bullet"/>
      <w:lvlText w:val=""/>
      <w:lvlJc w:val="left"/>
      <w:pPr>
        <w:ind w:left="420" w:hanging="420"/>
      </w:pPr>
      <w:rPr>
        <w:rFonts w:hint="default" w:ascii="Wingdings" w:hAnsi="Wingdings"/>
      </w:rPr>
    </w:lvl>
  </w:abstractNum>
  <w:abstractNum w:abstractNumId="11">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470247A"/>
    <w:multiLevelType w:val="singleLevel"/>
    <w:tmpl w:val="7470247A"/>
    <w:lvl w:ilvl="0" w:tentative="0">
      <w:start w:val="1"/>
      <w:numFmt w:val="bullet"/>
      <w:lvlText w:val=""/>
      <w:lvlJc w:val="left"/>
      <w:pPr>
        <w:ind w:left="420" w:hanging="420"/>
      </w:pPr>
      <w:rPr>
        <w:rFonts w:hint="default" w:ascii="Wingdings" w:hAnsi="Wingdings"/>
      </w:rPr>
    </w:lvl>
  </w:abstractNum>
  <w:abstractNum w:abstractNumId="13">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E2D5559"/>
    <w:multiLevelType w:val="multilevel"/>
    <w:tmpl w:val="7E2D5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8"/>
  </w:num>
  <w:num w:numId="3">
    <w:abstractNumId w:val="11"/>
  </w:num>
  <w:num w:numId="4">
    <w:abstractNumId w:val="7"/>
  </w:num>
  <w:num w:numId="5">
    <w:abstractNumId w:val="13"/>
  </w:num>
  <w:num w:numId="6">
    <w:abstractNumId w:val="5"/>
  </w:num>
  <w:num w:numId="7">
    <w:abstractNumId w:val="14"/>
  </w:num>
  <w:num w:numId="8">
    <w:abstractNumId w:val="3"/>
  </w:num>
  <w:num w:numId="9">
    <w:abstractNumId w:val="1"/>
  </w:num>
  <w:num w:numId="10">
    <w:abstractNumId w:val="4"/>
  </w:num>
  <w:num w:numId="11">
    <w:abstractNumId w:val="12"/>
  </w:num>
  <w:num w:numId="12">
    <w:abstractNumId w:val="6"/>
  </w:num>
  <w:num w:numId="13">
    <w:abstractNumId w:val="10"/>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F1743"/>
    <w:rsid w:val="018F25C8"/>
    <w:rsid w:val="01906A5B"/>
    <w:rsid w:val="01907C39"/>
    <w:rsid w:val="01E70C97"/>
    <w:rsid w:val="01EA15CF"/>
    <w:rsid w:val="02402E7C"/>
    <w:rsid w:val="02505886"/>
    <w:rsid w:val="029011A2"/>
    <w:rsid w:val="02A03627"/>
    <w:rsid w:val="02DB4554"/>
    <w:rsid w:val="02EC4357"/>
    <w:rsid w:val="02EE768C"/>
    <w:rsid w:val="02FA1082"/>
    <w:rsid w:val="031778E0"/>
    <w:rsid w:val="0327096F"/>
    <w:rsid w:val="032A315A"/>
    <w:rsid w:val="03481CC2"/>
    <w:rsid w:val="034E163D"/>
    <w:rsid w:val="03BF3D9F"/>
    <w:rsid w:val="03C80AD2"/>
    <w:rsid w:val="03C95263"/>
    <w:rsid w:val="03F0584F"/>
    <w:rsid w:val="03FB5627"/>
    <w:rsid w:val="04076F95"/>
    <w:rsid w:val="04242812"/>
    <w:rsid w:val="04383CC9"/>
    <w:rsid w:val="04421BA4"/>
    <w:rsid w:val="044B12E0"/>
    <w:rsid w:val="046301A2"/>
    <w:rsid w:val="04732FB8"/>
    <w:rsid w:val="04871DE8"/>
    <w:rsid w:val="048F6485"/>
    <w:rsid w:val="04A12403"/>
    <w:rsid w:val="04A815F7"/>
    <w:rsid w:val="04AD06A4"/>
    <w:rsid w:val="04BD1E3A"/>
    <w:rsid w:val="050C7718"/>
    <w:rsid w:val="05214F03"/>
    <w:rsid w:val="055E02FB"/>
    <w:rsid w:val="056A3BE2"/>
    <w:rsid w:val="05AE2916"/>
    <w:rsid w:val="05B1379B"/>
    <w:rsid w:val="05C6466C"/>
    <w:rsid w:val="05DB67C3"/>
    <w:rsid w:val="05F02736"/>
    <w:rsid w:val="06026AB1"/>
    <w:rsid w:val="060D0D66"/>
    <w:rsid w:val="062C2061"/>
    <w:rsid w:val="06311BAC"/>
    <w:rsid w:val="067C67DB"/>
    <w:rsid w:val="068158A4"/>
    <w:rsid w:val="07007517"/>
    <w:rsid w:val="07073FA3"/>
    <w:rsid w:val="072F7FC6"/>
    <w:rsid w:val="0732584E"/>
    <w:rsid w:val="075A7EF6"/>
    <w:rsid w:val="076202A2"/>
    <w:rsid w:val="076A2A73"/>
    <w:rsid w:val="07AE506C"/>
    <w:rsid w:val="07C22AAD"/>
    <w:rsid w:val="07C3764D"/>
    <w:rsid w:val="07F66AC5"/>
    <w:rsid w:val="0833764C"/>
    <w:rsid w:val="084677D5"/>
    <w:rsid w:val="0848005E"/>
    <w:rsid w:val="084B1A9E"/>
    <w:rsid w:val="084C657D"/>
    <w:rsid w:val="084D12F0"/>
    <w:rsid w:val="087B6B61"/>
    <w:rsid w:val="087E40F9"/>
    <w:rsid w:val="08916AA8"/>
    <w:rsid w:val="089F664F"/>
    <w:rsid w:val="08A203F3"/>
    <w:rsid w:val="08AF00C1"/>
    <w:rsid w:val="08B531C0"/>
    <w:rsid w:val="08BB1078"/>
    <w:rsid w:val="08BD1F16"/>
    <w:rsid w:val="08D53034"/>
    <w:rsid w:val="08DA28B3"/>
    <w:rsid w:val="08DD2BEF"/>
    <w:rsid w:val="0903652D"/>
    <w:rsid w:val="090556C6"/>
    <w:rsid w:val="09104DCD"/>
    <w:rsid w:val="094C40B4"/>
    <w:rsid w:val="09606948"/>
    <w:rsid w:val="096E0D4F"/>
    <w:rsid w:val="09736AE0"/>
    <w:rsid w:val="09E30E5D"/>
    <w:rsid w:val="0A143BE1"/>
    <w:rsid w:val="0A286DFB"/>
    <w:rsid w:val="0A5164D1"/>
    <w:rsid w:val="0A6C43DE"/>
    <w:rsid w:val="0ABC02E8"/>
    <w:rsid w:val="0AC16484"/>
    <w:rsid w:val="0ACB2015"/>
    <w:rsid w:val="0AD20D5E"/>
    <w:rsid w:val="0AD555AC"/>
    <w:rsid w:val="0AED24FC"/>
    <w:rsid w:val="0B0F4A80"/>
    <w:rsid w:val="0B1B1997"/>
    <w:rsid w:val="0B24532C"/>
    <w:rsid w:val="0B3F6621"/>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5161F8"/>
    <w:rsid w:val="0C52360D"/>
    <w:rsid w:val="0C7C1976"/>
    <w:rsid w:val="0CAC6DE2"/>
    <w:rsid w:val="0CBA5E3E"/>
    <w:rsid w:val="0CCB3B11"/>
    <w:rsid w:val="0CDE55BC"/>
    <w:rsid w:val="0CDF3914"/>
    <w:rsid w:val="0CEA2CF7"/>
    <w:rsid w:val="0D035130"/>
    <w:rsid w:val="0D23336E"/>
    <w:rsid w:val="0D284B82"/>
    <w:rsid w:val="0D3A5239"/>
    <w:rsid w:val="0D3A7039"/>
    <w:rsid w:val="0D4356A8"/>
    <w:rsid w:val="0D8735F9"/>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9D025B"/>
    <w:rsid w:val="0EA8225F"/>
    <w:rsid w:val="0ED01837"/>
    <w:rsid w:val="0ED33A29"/>
    <w:rsid w:val="0EF97174"/>
    <w:rsid w:val="0F0F3D45"/>
    <w:rsid w:val="0F2550AA"/>
    <w:rsid w:val="0F3A116B"/>
    <w:rsid w:val="0F511411"/>
    <w:rsid w:val="0F703346"/>
    <w:rsid w:val="0F80004E"/>
    <w:rsid w:val="0F871EAB"/>
    <w:rsid w:val="0F9F1528"/>
    <w:rsid w:val="0FDF5A14"/>
    <w:rsid w:val="1008703A"/>
    <w:rsid w:val="10126FBC"/>
    <w:rsid w:val="103809FF"/>
    <w:rsid w:val="10764104"/>
    <w:rsid w:val="1096068D"/>
    <w:rsid w:val="10B951CF"/>
    <w:rsid w:val="10BB3068"/>
    <w:rsid w:val="10D82C05"/>
    <w:rsid w:val="110E3EB6"/>
    <w:rsid w:val="11131D94"/>
    <w:rsid w:val="111778A8"/>
    <w:rsid w:val="111E4B32"/>
    <w:rsid w:val="1124277B"/>
    <w:rsid w:val="11617971"/>
    <w:rsid w:val="11622F64"/>
    <w:rsid w:val="116F4939"/>
    <w:rsid w:val="11846297"/>
    <w:rsid w:val="118660F9"/>
    <w:rsid w:val="11AD4D58"/>
    <w:rsid w:val="11B67206"/>
    <w:rsid w:val="11BA4661"/>
    <w:rsid w:val="11BA6A1A"/>
    <w:rsid w:val="11E411C4"/>
    <w:rsid w:val="11EE75FC"/>
    <w:rsid w:val="11FA2349"/>
    <w:rsid w:val="12044AB3"/>
    <w:rsid w:val="12342A01"/>
    <w:rsid w:val="12533BE9"/>
    <w:rsid w:val="126548EE"/>
    <w:rsid w:val="12817181"/>
    <w:rsid w:val="129E41E5"/>
    <w:rsid w:val="12AA4BE9"/>
    <w:rsid w:val="12C003F7"/>
    <w:rsid w:val="12C7679B"/>
    <w:rsid w:val="12DD774D"/>
    <w:rsid w:val="12E20B88"/>
    <w:rsid w:val="133E4EC4"/>
    <w:rsid w:val="136404F3"/>
    <w:rsid w:val="137E2663"/>
    <w:rsid w:val="13B61E8E"/>
    <w:rsid w:val="13C23A1B"/>
    <w:rsid w:val="13C76244"/>
    <w:rsid w:val="13CF28FB"/>
    <w:rsid w:val="13DA7C15"/>
    <w:rsid w:val="13EA5E5F"/>
    <w:rsid w:val="14107AE9"/>
    <w:rsid w:val="14175E0A"/>
    <w:rsid w:val="141F1BA5"/>
    <w:rsid w:val="142A2204"/>
    <w:rsid w:val="1472255F"/>
    <w:rsid w:val="14782396"/>
    <w:rsid w:val="148942E3"/>
    <w:rsid w:val="148B031E"/>
    <w:rsid w:val="14AC25B0"/>
    <w:rsid w:val="14AE0BED"/>
    <w:rsid w:val="14AF303C"/>
    <w:rsid w:val="14BE55AD"/>
    <w:rsid w:val="14E52CFF"/>
    <w:rsid w:val="1502113A"/>
    <w:rsid w:val="151308D4"/>
    <w:rsid w:val="15281376"/>
    <w:rsid w:val="15422545"/>
    <w:rsid w:val="156508EF"/>
    <w:rsid w:val="15693006"/>
    <w:rsid w:val="15716A99"/>
    <w:rsid w:val="157177C3"/>
    <w:rsid w:val="1581047E"/>
    <w:rsid w:val="15895642"/>
    <w:rsid w:val="15A444EB"/>
    <w:rsid w:val="15B0540D"/>
    <w:rsid w:val="15B7532E"/>
    <w:rsid w:val="15C84147"/>
    <w:rsid w:val="15CA017F"/>
    <w:rsid w:val="15D71AD5"/>
    <w:rsid w:val="15DC38C2"/>
    <w:rsid w:val="15F23B4A"/>
    <w:rsid w:val="15FC08F6"/>
    <w:rsid w:val="1646133C"/>
    <w:rsid w:val="165931D9"/>
    <w:rsid w:val="16682D3E"/>
    <w:rsid w:val="167046E9"/>
    <w:rsid w:val="167E382D"/>
    <w:rsid w:val="16DC0535"/>
    <w:rsid w:val="170716B6"/>
    <w:rsid w:val="1748083E"/>
    <w:rsid w:val="17553F9F"/>
    <w:rsid w:val="175623CE"/>
    <w:rsid w:val="176538DA"/>
    <w:rsid w:val="1794775D"/>
    <w:rsid w:val="17C376AD"/>
    <w:rsid w:val="17CB4905"/>
    <w:rsid w:val="17D01F3A"/>
    <w:rsid w:val="17DC7DAF"/>
    <w:rsid w:val="17DF40F7"/>
    <w:rsid w:val="180E4FC5"/>
    <w:rsid w:val="18171331"/>
    <w:rsid w:val="18396192"/>
    <w:rsid w:val="184A4BE3"/>
    <w:rsid w:val="185060EC"/>
    <w:rsid w:val="185A42FA"/>
    <w:rsid w:val="18870C54"/>
    <w:rsid w:val="189D2207"/>
    <w:rsid w:val="18A45C40"/>
    <w:rsid w:val="18D57338"/>
    <w:rsid w:val="18E96032"/>
    <w:rsid w:val="18EE62E8"/>
    <w:rsid w:val="18F96461"/>
    <w:rsid w:val="19116F8E"/>
    <w:rsid w:val="19551A74"/>
    <w:rsid w:val="195F7D63"/>
    <w:rsid w:val="197C2433"/>
    <w:rsid w:val="19933139"/>
    <w:rsid w:val="19AC4F46"/>
    <w:rsid w:val="19D57461"/>
    <w:rsid w:val="19E74602"/>
    <w:rsid w:val="19EE7D0B"/>
    <w:rsid w:val="1A077D86"/>
    <w:rsid w:val="1A085685"/>
    <w:rsid w:val="1A191F3E"/>
    <w:rsid w:val="1A5163D6"/>
    <w:rsid w:val="1A54768F"/>
    <w:rsid w:val="1A5A669E"/>
    <w:rsid w:val="1A796C32"/>
    <w:rsid w:val="1AB9028C"/>
    <w:rsid w:val="1AC56317"/>
    <w:rsid w:val="1AD6319E"/>
    <w:rsid w:val="1B4B651F"/>
    <w:rsid w:val="1B777BC9"/>
    <w:rsid w:val="1B7D10D5"/>
    <w:rsid w:val="1B8D6B92"/>
    <w:rsid w:val="1B936CD6"/>
    <w:rsid w:val="1B990279"/>
    <w:rsid w:val="1B9B4E1C"/>
    <w:rsid w:val="1B9C50E9"/>
    <w:rsid w:val="1BAA5FDD"/>
    <w:rsid w:val="1BAD4429"/>
    <w:rsid w:val="1BB80557"/>
    <w:rsid w:val="1BBC1606"/>
    <w:rsid w:val="1BD91A80"/>
    <w:rsid w:val="1BE641ED"/>
    <w:rsid w:val="1BF24F3D"/>
    <w:rsid w:val="1C1D36F1"/>
    <w:rsid w:val="1C291BAA"/>
    <w:rsid w:val="1C386892"/>
    <w:rsid w:val="1C4A2683"/>
    <w:rsid w:val="1C5F292D"/>
    <w:rsid w:val="1C5F3B2B"/>
    <w:rsid w:val="1C631E26"/>
    <w:rsid w:val="1C7530BF"/>
    <w:rsid w:val="1CBC5611"/>
    <w:rsid w:val="1CD22EF6"/>
    <w:rsid w:val="1CD7177C"/>
    <w:rsid w:val="1CF005FD"/>
    <w:rsid w:val="1CF6531E"/>
    <w:rsid w:val="1CF73467"/>
    <w:rsid w:val="1D0B195E"/>
    <w:rsid w:val="1D3570D5"/>
    <w:rsid w:val="1D4E0EB2"/>
    <w:rsid w:val="1D693FA7"/>
    <w:rsid w:val="1D8F4E65"/>
    <w:rsid w:val="1DB553DF"/>
    <w:rsid w:val="1DBF1882"/>
    <w:rsid w:val="1DF17BE1"/>
    <w:rsid w:val="1E4719A3"/>
    <w:rsid w:val="1E5F1F97"/>
    <w:rsid w:val="1E6C5F4E"/>
    <w:rsid w:val="1EA65561"/>
    <w:rsid w:val="1EAD4127"/>
    <w:rsid w:val="1EB70BD9"/>
    <w:rsid w:val="1EB8797A"/>
    <w:rsid w:val="1EEC719E"/>
    <w:rsid w:val="1EF7018A"/>
    <w:rsid w:val="1F0242AA"/>
    <w:rsid w:val="1F044236"/>
    <w:rsid w:val="1F25251D"/>
    <w:rsid w:val="1F2B5438"/>
    <w:rsid w:val="1F390590"/>
    <w:rsid w:val="1F424A01"/>
    <w:rsid w:val="1F4C6748"/>
    <w:rsid w:val="1F595467"/>
    <w:rsid w:val="1F5B2F4F"/>
    <w:rsid w:val="1F5C06A1"/>
    <w:rsid w:val="1FB80942"/>
    <w:rsid w:val="1FBB5482"/>
    <w:rsid w:val="2001262E"/>
    <w:rsid w:val="200D64BE"/>
    <w:rsid w:val="20153599"/>
    <w:rsid w:val="201B2789"/>
    <w:rsid w:val="20256516"/>
    <w:rsid w:val="20584BED"/>
    <w:rsid w:val="20D60AAE"/>
    <w:rsid w:val="21061BA2"/>
    <w:rsid w:val="2121427E"/>
    <w:rsid w:val="21262CBA"/>
    <w:rsid w:val="212B1C97"/>
    <w:rsid w:val="21361FB5"/>
    <w:rsid w:val="214B3D89"/>
    <w:rsid w:val="21575426"/>
    <w:rsid w:val="215C1F77"/>
    <w:rsid w:val="2177769E"/>
    <w:rsid w:val="21D25FF2"/>
    <w:rsid w:val="21F70210"/>
    <w:rsid w:val="22344A9E"/>
    <w:rsid w:val="22363269"/>
    <w:rsid w:val="223C2DAF"/>
    <w:rsid w:val="223E2651"/>
    <w:rsid w:val="224E39C0"/>
    <w:rsid w:val="226575C4"/>
    <w:rsid w:val="22682C5C"/>
    <w:rsid w:val="226D3EEA"/>
    <w:rsid w:val="226E077B"/>
    <w:rsid w:val="22923DE9"/>
    <w:rsid w:val="22973417"/>
    <w:rsid w:val="229D5794"/>
    <w:rsid w:val="22C17DB5"/>
    <w:rsid w:val="22C629AC"/>
    <w:rsid w:val="22DD27AA"/>
    <w:rsid w:val="22E96F92"/>
    <w:rsid w:val="23060CEA"/>
    <w:rsid w:val="230D3451"/>
    <w:rsid w:val="230E5678"/>
    <w:rsid w:val="23257653"/>
    <w:rsid w:val="23441FFA"/>
    <w:rsid w:val="234B3276"/>
    <w:rsid w:val="23773623"/>
    <w:rsid w:val="2377693D"/>
    <w:rsid w:val="239F724D"/>
    <w:rsid w:val="23AB1721"/>
    <w:rsid w:val="23EF0BE1"/>
    <w:rsid w:val="24002E5E"/>
    <w:rsid w:val="245A6743"/>
    <w:rsid w:val="246A08B9"/>
    <w:rsid w:val="24754B15"/>
    <w:rsid w:val="247F64CC"/>
    <w:rsid w:val="248D420D"/>
    <w:rsid w:val="24921B27"/>
    <w:rsid w:val="24A0121D"/>
    <w:rsid w:val="24B97631"/>
    <w:rsid w:val="24C90419"/>
    <w:rsid w:val="24E32289"/>
    <w:rsid w:val="24ED1C1E"/>
    <w:rsid w:val="24F0284D"/>
    <w:rsid w:val="250E20E4"/>
    <w:rsid w:val="25202C91"/>
    <w:rsid w:val="252331A5"/>
    <w:rsid w:val="252733A0"/>
    <w:rsid w:val="25425A19"/>
    <w:rsid w:val="25490B3E"/>
    <w:rsid w:val="256F1A53"/>
    <w:rsid w:val="258B2F2B"/>
    <w:rsid w:val="258B31A0"/>
    <w:rsid w:val="25AB3D1C"/>
    <w:rsid w:val="25D90A1B"/>
    <w:rsid w:val="25E22192"/>
    <w:rsid w:val="25F332FF"/>
    <w:rsid w:val="25FE37D6"/>
    <w:rsid w:val="26274BB6"/>
    <w:rsid w:val="26356536"/>
    <w:rsid w:val="268B243A"/>
    <w:rsid w:val="269C627F"/>
    <w:rsid w:val="26AA20D3"/>
    <w:rsid w:val="26B43DCE"/>
    <w:rsid w:val="26C705B0"/>
    <w:rsid w:val="26DD3B73"/>
    <w:rsid w:val="26E576C7"/>
    <w:rsid w:val="26F04260"/>
    <w:rsid w:val="26F81EB4"/>
    <w:rsid w:val="26FB2F1B"/>
    <w:rsid w:val="27310B9A"/>
    <w:rsid w:val="273E1C11"/>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D06022"/>
    <w:rsid w:val="2AD63975"/>
    <w:rsid w:val="2ADD1B0D"/>
    <w:rsid w:val="2AEC47FC"/>
    <w:rsid w:val="2AF1331E"/>
    <w:rsid w:val="2AF81BE3"/>
    <w:rsid w:val="2AFF23A5"/>
    <w:rsid w:val="2B361003"/>
    <w:rsid w:val="2B3762A6"/>
    <w:rsid w:val="2B3C6641"/>
    <w:rsid w:val="2B5B0F6E"/>
    <w:rsid w:val="2B925FDF"/>
    <w:rsid w:val="2B9970F1"/>
    <w:rsid w:val="2BE501C7"/>
    <w:rsid w:val="2BED2E55"/>
    <w:rsid w:val="2C1738CF"/>
    <w:rsid w:val="2C1945D8"/>
    <w:rsid w:val="2C6C7918"/>
    <w:rsid w:val="2C783906"/>
    <w:rsid w:val="2CB5787B"/>
    <w:rsid w:val="2CCA4381"/>
    <w:rsid w:val="2CD30F03"/>
    <w:rsid w:val="2CF249BE"/>
    <w:rsid w:val="2CFC1554"/>
    <w:rsid w:val="2CFF3512"/>
    <w:rsid w:val="2D0B7148"/>
    <w:rsid w:val="2D17770B"/>
    <w:rsid w:val="2D354DCA"/>
    <w:rsid w:val="2D6E6943"/>
    <w:rsid w:val="2D7E4AF7"/>
    <w:rsid w:val="2D8519AC"/>
    <w:rsid w:val="2D87777E"/>
    <w:rsid w:val="2D8E349F"/>
    <w:rsid w:val="2D9469E6"/>
    <w:rsid w:val="2D9D7A77"/>
    <w:rsid w:val="2DAF78FF"/>
    <w:rsid w:val="2DD93F77"/>
    <w:rsid w:val="2DDE7A41"/>
    <w:rsid w:val="2DEF20F0"/>
    <w:rsid w:val="2E041306"/>
    <w:rsid w:val="2E106E4C"/>
    <w:rsid w:val="2E4C211D"/>
    <w:rsid w:val="2E4D7F49"/>
    <w:rsid w:val="2E4E05E7"/>
    <w:rsid w:val="2E4E1129"/>
    <w:rsid w:val="2E5B5EA2"/>
    <w:rsid w:val="2E6446EB"/>
    <w:rsid w:val="2E7F0E61"/>
    <w:rsid w:val="2E7F686F"/>
    <w:rsid w:val="2E870765"/>
    <w:rsid w:val="2E8D0791"/>
    <w:rsid w:val="2E9B39A1"/>
    <w:rsid w:val="2F047EE8"/>
    <w:rsid w:val="2F085C75"/>
    <w:rsid w:val="2F2B12A9"/>
    <w:rsid w:val="2F626907"/>
    <w:rsid w:val="2F956224"/>
    <w:rsid w:val="2FA23A7C"/>
    <w:rsid w:val="2FA30525"/>
    <w:rsid w:val="2FB449B9"/>
    <w:rsid w:val="2FC73BC7"/>
    <w:rsid w:val="2FD33F66"/>
    <w:rsid w:val="2FD408E0"/>
    <w:rsid w:val="2FE311E4"/>
    <w:rsid w:val="2FF608DC"/>
    <w:rsid w:val="2FFD3FAC"/>
    <w:rsid w:val="3004586C"/>
    <w:rsid w:val="30160ACC"/>
    <w:rsid w:val="3045081F"/>
    <w:rsid w:val="306825DD"/>
    <w:rsid w:val="30834BF9"/>
    <w:rsid w:val="30944718"/>
    <w:rsid w:val="30C01078"/>
    <w:rsid w:val="30CF0FD9"/>
    <w:rsid w:val="30F34FAE"/>
    <w:rsid w:val="3133127A"/>
    <w:rsid w:val="31353CD7"/>
    <w:rsid w:val="313E620E"/>
    <w:rsid w:val="313E6CDE"/>
    <w:rsid w:val="31727F68"/>
    <w:rsid w:val="317662E9"/>
    <w:rsid w:val="31954796"/>
    <w:rsid w:val="31962DAE"/>
    <w:rsid w:val="319F0073"/>
    <w:rsid w:val="31B9498A"/>
    <w:rsid w:val="32044DED"/>
    <w:rsid w:val="320C562E"/>
    <w:rsid w:val="324B22D2"/>
    <w:rsid w:val="32575E9A"/>
    <w:rsid w:val="325C3AF5"/>
    <w:rsid w:val="327A0FE8"/>
    <w:rsid w:val="329F684F"/>
    <w:rsid w:val="32B26B6D"/>
    <w:rsid w:val="32C92CF9"/>
    <w:rsid w:val="32F96ACA"/>
    <w:rsid w:val="330258B3"/>
    <w:rsid w:val="33054642"/>
    <w:rsid w:val="33106E3B"/>
    <w:rsid w:val="333E4968"/>
    <w:rsid w:val="337E28B4"/>
    <w:rsid w:val="33951969"/>
    <w:rsid w:val="339B5E01"/>
    <w:rsid w:val="33A31D7A"/>
    <w:rsid w:val="33D163EF"/>
    <w:rsid w:val="33D45DFD"/>
    <w:rsid w:val="33E605A3"/>
    <w:rsid w:val="33E706E6"/>
    <w:rsid w:val="33F14703"/>
    <w:rsid w:val="33F7797D"/>
    <w:rsid w:val="3406027F"/>
    <w:rsid w:val="345B2367"/>
    <w:rsid w:val="348B5095"/>
    <w:rsid w:val="349C31F7"/>
    <w:rsid w:val="34A54544"/>
    <w:rsid w:val="34AE0539"/>
    <w:rsid w:val="34CD5068"/>
    <w:rsid w:val="34CE2B5B"/>
    <w:rsid w:val="34E944F6"/>
    <w:rsid w:val="34E94AA0"/>
    <w:rsid w:val="35072EAD"/>
    <w:rsid w:val="350960B1"/>
    <w:rsid w:val="35150114"/>
    <w:rsid w:val="35217336"/>
    <w:rsid w:val="35290A77"/>
    <w:rsid w:val="352A0B4B"/>
    <w:rsid w:val="35356F10"/>
    <w:rsid w:val="354840CB"/>
    <w:rsid w:val="355C013C"/>
    <w:rsid w:val="3565420B"/>
    <w:rsid w:val="356A601B"/>
    <w:rsid w:val="3583595D"/>
    <w:rsid w:val="35841013"/>
    <w:rsid w:val="358B79C9"/>
    <w:rsid w:val="359A00B9"/>
    <w:rsid w:val="35F853BB"/>
    <w:rsid w:val="35FB1676"/>
    <w:rsid w:val="361526DE"/>
    <w:rsid w:val="36225127"/>
    <w:rsid w:val="36237E20"/>
    <w:rsid w:val="36286678"/>
    <w:rsid w:val="363803C7"/>
    <w:rsid w:val="367620D2"/>
    <w:rsid w:val="3689139F"/>
    <w:rsid w:val="369608CE"/>
    <w:rsid w:val="369B2954"/>
    <w:rsid w:val="36C1037B"/>
    <w:rsid w:val="36D067A6"/>
    <w:rsid w:val="37070D11"/>
    <w:rsid w:val="37201F64"/>
    <w:rsid w:val="373F53DD"/>
    <w:rsid w:val="375948AC"/>
    <w:rsid w:val="376B28D6"/>
    <w:rsid w:val="376C5D00"/>
    <w:rsid w:val="376E276D"/>
    <w:rsid w:val="37A04E93"/>
    <w:rsid w:val="37EA0A17"/>
    <w:rsid w:val="380A7603"/>
    <w:rsid w:val="380B0BB2"/>
    <w:rsid w:val="380D32F1"/>
    <w:rsid w:val="380D5D0D"/>
    <w:rsid w:val="382F2C1E"/>
    <w:rsid w:val="38716CD9"/>
    <w:rsid w:val="38801C6C"/>
    <w:rsid w:val="38851608"/>
    <w:rsid w:val="38A45712"/>
    <w:rsid w:val="38A47DD9"/>
    <w:rsid w:val="38B04451"/>
    <w:rsid w:val="38CC35B4"/>
    <w:rsid w:val="38D10166"/>
    <w:rsid w:val="39207FD2"/>
    <w:rsid w:val="3933207C"/>
    <w:rsid w:val="394B37F2"/>
    <w:rsid w:val="39532C2F"/>
    <w:rsid w:val="39985F30"/>
    <w:rsid w:val="39D3500A"/>
    <w:rsid w:val="39D96419"/>
    <w:rsid w:val="39E55169"/>
    <w:rsid w:val="39E84553"/>
    <w:rsid w:val="39F4018B"/>
    <w:rsid w:val="39F72E22"/>
    <w:rsid w:val="3A094E52"/>
    <w:rsid w:val="3A174971"/>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7F36AC"/>
    <w:rsid w:val="3B822235"/>
    <w:rsid w:val="3B861D2E"/>
    <w:rsid w:val="3BC25680"/>
    <w:rsid w:val="3BD653F5"/>
    <w:rsid w:val="3BE16ECF"/>
    <w:rsid w:val="3C211965"/>
    <w:rsid w:val="3C4B0ED5"/>
    <w:rsid w:val="3CA91418"/>
    <w:rsid w:val="3CBC1B56"/>
    <w:rsid w:val="3CBD75BF"/>
    <w:rsid w:val="3CC33BCC"/>
    <w:rsid w:val="3CD641A1"/>
    <w:rsid w:val="3CE2490A"/>
    <w:rsid w:val="3CEA648A"/>
    <w:rsid w:val="3D1502D9"/>
    <w:rsid w:val="3D555673"/>
    <w:rsid w:val="3D5657CC"/>
    <w:rsid w:val="3D5D2E26"/>
    <w:rsid w:val="3D876DDA"/>
    <w:rsid w:val="3D8E5ECA"/>
    <w:rsid w:val="3DB21166"/>
    <w:rsid w:val="3DB52FFB"/>
    <w:rsid w:val="3DB932B8"/>
    <w:rsid w:val="3DDF3C84"/>
    <w:rsid w:val="3DF55B8D"/>
    <w:rsid w:val="3DF740D2"/>
    <w:rsid w:val="3E2942BE"/>
    <w:rsid w:val="3E300439"/>
    <w:rsid w:val="3E320B89"/>
    <w:rsid w:val="3E3906BC"/>
    <w:rsid w:val="3E5648B2"/>
    <w:rsid w:val="3E684241"/>
    <w:rsid w:val="3E75521D"/>
    <w:rsid w:val="3E83245B"/>
    <w:rsid w:val="3E8412E9"/>
    <w:rsid w:val="3E9328AF"/>
    <w:rsid w:val="3EBC27E6"/>
    <w:rsid w:val="3EDC10D0"/>
    <w:rsid w:val="3EE10368"/>
    <w:rsid w:val="3EF13BC7"/>
    <w:rsid w:val="3EF53D00"/>
    <w:rsid w:val="3F0C4369"/>
    <w:rsid w:val="3F2F53AA"/>
    <w:rsid w:val="3F5D2E4D"/>
    <w:rsid w:val="3F5F1F5C"/>
    <w:rsid w:val="3F6A5EE0"/>
    <w:rsid w:val="3F8A14CB"/>
    <w:rsid w:val="3F9E0865"/>
    <w:rsid w:val="3FA5009E"/>
    <w:rsid w:val="3FD50D82"/>
    <w:rsid w:val="3FDB1475"/>
    <w:rsid w:val="3FDE5AD9"/>
    <w:rsid w:val="3FE56AF2"/>
    <w:rsid w:val="401C7BD5"/>
    <w:rsid w:val="402417C8"/>
    <w:rsid w:val="40372073"/>
    <w:rsid w:val="404F52A8"/>
    <w:rsid w:val="40B6211F"/>
    <w:rsid w:val="40C2573C"/>
    <w:rsid w:val="40D34024"/>
    <w:rsid w:val="40D43BA0"/>
    <w:rsid w:val="40E241CE"/>
    <w:rsid w:val="40EA78D7"/>
    <w:rsid w:val="412912D7"/>
    <w:rsid w:val="41366B89"/>
    <w:rsid w:val="41643D6B"/>
    <w:rsid w:val="41771599"/>
    <w:rsid w:val="41A04E11"/>
    <w:rsid w:val="41DB0F0D"/>
    <w:rsid w:val="420558C2"/>
    <w:rsid w:val="42057B28"/>
    <w:rsid w:val="421052B2"/>
    <w:rsid w:val="42190CC2"/>
    <w:rsid w:val="422F36E3"/>
    <w:rsid w:val="42407C97"/>
    <w:rsid w:val="42491125"/>
    <w:rsid w:val="427A44C2"/>
    <w:rsid w:val="42880654"/>
    <w:rsid w:val="428D14EF"/>
    <w:rsid w:val="4296187E"/>
    <w:rsid w:val="42A65AF0"/>
    <w:rsid w:val="42AD56C6"/>
    <w:rsid w:val="42FF71DC"/>
    <w:rsid w:val="42FF7548"/>
    <w:rsid w:val="432B1FC3"/>
    <w:rsid w:val="434D155D"/>
    <w:rsid w:val="435E53D9"/>
    <w:rsid w:val="437A0D2C"/>
    <w:rsid w:val="438607EE"/>
    <w:rsid w:val="43911F91"/>
    <w:rsid w:val="4394491A"/>
    <w:rsid w:val="43997A97"/>
    <w:rsid w:val="43BD5DE5"/>
    <w:rsid w:val="43D65E39"/>
    <w:rsid w:val="43D6606E"/>
    <w:rsid w:val="43FE3B45"/>
    <w:rsid w:val="441111D7"/>
    <w:rsid w:val="444C64B0"/>
    <w:rsid w:val="444D54BA"/>
    <w:rsid w:val="44742FDB"/>
    <w:rsid w:val="449D508C"/>
    <w:rsid w:val="44B15AF7"/>
    <w:rsid w:val="44B36E39"/>
    <w:rsid w:val="44EC7013"/>
    <w:rsid w:val="44F02519"/>
    <w:rsid w:val="44FB3AE3"/>
    <w:rsid w:val="44FF3C64"/>
    <w:rsid w:val="45061393"/>
    <w:rsid w:val="45427AA4"/>
    <w:rsid w:val="45515DC5"/>
    <w:rsid w:val="455454A2"/>
    <w:rsid w:val="45564CA5"/>
    <w:rsid w:val="455B6233"/>
    <w:rsid w:val="456A6A48"/>
    <w:rsid w:val="457C3D14"/>
    <w:rsid w:val="45865E2C"/>
    <w:rsid w:val="45911A43"/>
    <w:rsid w:val="45A16423"/>
    <w:rsid w:val="45A24E61"/>
    <w:rsid w:val="45B457B5"/>
    <w:rsid w:val="45DE2657"/>
    <w:rsid w:val="45F10EC5"/>
    <w:rsid w:val="460F4303"/>
    <w:rsid w:val="462E7E70"/>
    <w:rsid w:val="463144E8"/>
    <w:rsid w:val="466317E7"/>
    <w:rsid w:val="466E3CCD"/>
    <w:rsid w:val="4676381B"/>
    <w:rsid w:val="467744FD"/>
    <w:rsid w:val="46A746F1"/>
    <w:rsid w:val="46A9603F"/>
    <w:rsid w:val="46AF30F0"/>
    <w:rsid w:val="46D046FE"/>
    <w:rsid w:val="46E12276"/>
    <w:rsid w:val="46F03580"/>
    <w:rsid w:val="46F51A7F"/>
    <w:rsid w:val="47140188"/>
    <w:rsid w:val="4714637D"/>
    <w:rsid w:val="47280D0D"/>
    <w:rsid w:val="476B7898"/>
    <w:rsid w:val="47700B34"/>
    <w:rsid w:val="477A6B40"/>
    <w:rsid w:val="47B32E9C"/>
    <w:rsid w:val="480B19F6"/>
    <w:rsid w:val="48212AE9"/>
    <w:rsid w:val="486C4CE7"/>
    <w:rsid w:val="489713C3"/>
    <w:rsid w:val="48A262B1"/>
    <w:rsid w:val="48A61EC2"/>
    <w:rsid w:val="48BA3284"/>
    <w:rsid w:val="48CB1CC0"/>
    <w:rsid w:val="49013C23"/>
    <w:rsid w:val="490A52ED"/>
    <w:rsid w:val="49163580"/>
    <w:rsid w:val="491E6E1E"/>
    <w:rsid w:val="491F7F64"/>
    <w:rsid w:val="492A1BD4"/>
    <w:rsid w:val="49582843"/>
    <w:rsid w:val="49733467"/>
    <w:rsid w:val="49A418F2"/>
    <w:rsid w:val="49C8100A"/>
    <w:rsid w:val="49FF2037"/>
    <w:rsid w:val="4A0A7F62"/>
    <w:rsid w:val="4A1D00AC"/>
    <w:rsid w:val="4A270A04"/>
    <w:rsid w:val="4A414188"/>
    <w:rsid w:val="4A47591B"/>
    <w:rsid w:val="4A4C4C82"/>
    <w:rsid w:val="4A6F608D"/>
    <w:rsid w:val="4A885CE1"/>
    <w:rsid w:val="4A9452E5"/>
    <w:rsid w:val="4A9F2D3A"/>
    <w:rsid w:val="4ABE4F66"/>
    <w:rsid w:val="4ABF0894"/>
    <w:rsid w:val="4ADB4E28"/>
    <w:rsid w:val="4AF16114"/>
    <w:rsid w:val="4AF75899"/>
    <w:rsid w:val="4B170E1E"/>
    <w:rsid w:val="4B1A46C6"/>
    <w:rsid w:val="4B2517BD"/>
    <w:rsid w:val="4B333D7A"/>
    <w:rsid w:val="4B3422A0"/>
    <w:rsid w:val="4B4D3A8C"/>
    <w:rsid w:val="4B5523AC"/>
    <w:rsid w:val="4BB31E0A"/>
    <w:rsid w:val="4BC74E08"/>
    <w:rsid w:val="4BD07997"/>
    <w:rsid w:val="4BDF3E16"/>
    <w:rsid w:val="4C1003D8"/>
    <w:rsid w:val="4C352DA8"/>
    <w:rsid w:val="4C366477"/>
    <w:rsid w:val="4C6F66E5"/>
    <w:rsid w:val="4C786851"/>
    <w:rsid w:val="4C942881"/>
    <w:rsid w:val="4CAF266F"/>
    <w:rsid w:val="4CC13ECD"/>
    <w:rsid w:val="4CD020F9"/>
    <w:rsid w:val="4D0B17EF"/>
    <w:rsid w:val="4D0E4802"/>
    <w:rsid w:val="4D2F7723"/>
    <w:rsid w:val="4D406BD1"/>
    <w:rsid w:val="4D5047B5"/>
    <w:rsid w:val="4D605A45"/>
    <w:rsid w:val="4D76573F"/>
    <w:rsid w:val="4D831E51"/>
    <w:rsid w:val="4DA44E4F"/>
    <w:rsid w:val="4DCE74AD"/>
    <w:rsid w:val="4DF521AC"/>
    <w:rsid w:val="4E0A2800"/>
    <w:rsid w:val="4E0D58C8"/>
    <w:rsid w:val="4E5079C5"/>
    <w:rsid w:val="4E623BD3"/>
    <w:rsid w:val="4E7906E7"/>
    <w:rsid w:val="4E837C4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45D86"/>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86AE9"/>
    <w:rsid w:val="516C5BB7"/>
    <w:rsid w:val="51881606"/>
    <w:rsid w:val="518E2820"/>
    <w:rsid w:val="51AC5137"/>
    <w:rsid w:val="51B463DB"/>
    <w:rsid w:val="51C31254"/>
    <w:rsid w:val="51C979DD"/>
    <w:rsid w:val="520A22AE"/>
    <w:rsid w:val="52247A0F"/>
    <w:rsid w:val="52385792"/>
    <w:rsid w:val="523D42DD"/>
    <w:rsid w:val="523F6AFF"/>
    <w:rsid w:val="524F31BF"/>
    <w:rsid w:val="52514A0D"/>
    <w:rsid w:val="5273265C"/>
    <w:rsid w:val="52853336"/>
    <w:rsid w:val="52881D50"/>
    <w:rsid w:val="52991222"/>
    <w:rsid w:val="529B3EC4"/>
    <w:rsid w:val="529C7876"/>
    <w:rsid w:val="52DB19FD"/>
    <w:rsid w:val="52EE339D"/>
    <w:rsid w:val="5306292A"/>
    <w:rsid w:val="530822C8"/>
    <w:rsid w:val="533E1E81"/>
    <w:rsid w:val="536F3F83"/>
    <w:rsid w:val="53703E8D"/>
    <w:rsid w:val="53707DDE"/>
    <w:rsid w:val="537E0058"/>
    <w:rsid w:val="53950AA6"/>
    <w:rsid w:val="53C502CE"/>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B0D54"/>
    <w:rsid w:val="54591CDE"/>
    <w:rsid w:val="54625354"/>
    <w:rsid w:val="54984A43"/>
    <w:rsid w:val="54C557E7"/>
    <w:rsid w:val="54C65EC0"/>
    <w:rsid w:val="54D43100"/>
    <w:rsid w:val="552760F6"/>
    <w:rsid w:val="552A09F4"/>
    <w:rsid w:val="5532296D"/>
    <w:rsid w:val="555154EE"/>
    <w:rsid w:val="558F4A1E"/>
    <w:rsid w:val="55942252"/>
    <w:rsid w:val="55987FBD"/>
    <w:rsid w:val="55B41C64"/>
    <w:rsid w:val="55EC2897"/>
    <w:rsid w:val="55FA242D"/>
    <w:rsid w:val="5630640C"/>
    <w:rsid w:val="5652511E"/>
    <w:rsid w:val="56543A0D"/>
    <w:rsid w:val="566B50BC"/>
    <w:rsid w:val="569E1AC8"/>
    <w:rsid w:val="56A4132F"/>
    <w:rsid w:val="56AC279F"/>
    <w:rsid w:val="56AF2E6F"/>
    <w:rsid w:val="56DF0963"/>
    <w:rsid w:val="56E2575C"/>
    <w:rsid w:val="56F37D3E"/>
    <w:rsid w:val="56F473C0"/>
    <w:rsid w:val="56FD3D8C"/>
    <w:rsid w:val="57065F83"/>
    <w:rsid w:val="57097BE4"/>
    <w:rsid w:val="570B6550"/>
    <w:rsid w:val="57196157"/>
    <w:rsid w:val="57484C26"/>
    <w:rsid w:val="5758628A"/>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B31DD9"/>
    <w:rsid w:val="58B91125"/>
    <w:rsid w:val="58C64CF3"/>
    <w:rsid w:val="58CB3B78"/>
    <w:rsid w:val="58D21B64"/>
    <w:rsid w:val="590D2328"/>
    <w:rsid w:val="590F51DD"/>
    <w:rsid w:val="59232C0B"/>
    <w:rsid w:val="593A62F9"/>
    <w:rsid w:val="594D06B7"/>
    <w:rsid w:val="598D03EC"/>
    <w:rsid w:val="598D7696"/>
    <w:rsid w:val="599C0038"/>
    <w:rsid w:val="59C43D4D"/>
    <w:rsid w:val="59C83A39"/>
    <w:rsid w:val="59FB18DA"/>
    <w:rsid w:val="5A261DCD"/>
    <w:rsid w:val="5A361544"/>
    <w:rsid w:val="5A3F108A"/>
    <w:rsid w:val="5A5B363C"/>
    <w:rsid w:val="5A6D76C0"/>
    <w:rsid w:val="5A723A0D"/>
    <w:rsid w:val="5A762255"/>
    <w:rsid w:val="5A833B0D"/>
    <w:rsid w:val="5A9D621A"/>
    <w:rsid w:val="5AB17106"/>
    <w:rsid w:val="5AC219D6"/>
    <w:rsid w:val="5ACF40CD"/>
    <w:rsid w:val="5AFD3B96"/>
    <w:rsid w:val="5B0C640C"/>
    <w:rsid w:val="5B2D305D"/>
    <w:rsid w:val="5B443E9C"/>
    <w:rsid w:val="5B707739"/>
    <w:rsid w:val="5B956906"/>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576C4"/>
    <w:rsid w:val="5D230368"/>
    <w:rsid w:val="5D255730"/>
    <w:rsid w:val="5D5667E0"/>
    <w:rsid w:val="5D580881"/>
    <w:rsid w:val="5D6261CB"/>
    <w:rsid w:val="5DA13534"/>
    <w:rsid w:val="5DCB56EC"/>
    <w:rsid w:val="5DE448D2"/>
    <w:rsid w:val="5DF441FF"/>
    <w:rsid w:val="5E1463C6"/>
    <w:rsid w:val="5E285722"/>
    <w:rsid w:val="5E3B4D31"/>
    <w:rsid w:val="5E3E65D1"/>
    <w:rsid w:val="5E4B7A1D"/>
    <w:rsid w:val="5E50050F"/>
    <w:rsid w:val="5E5D04EF"/>
    <w:rsid w:val="5E68591D"/>
    <w:rsid w:val="5E731D18"/>
    <w:rsid w:val="5E742249"/>
    <w:rsid w:val="5E9E597C"/>
    <w:rsid w:val="5EA97C8F"/>
    <w:rsid w:val="5F0936DE"/>
    <w:rsid w:val="5F171517"/>
    <w:rsid w:val="5F62295E"/>
    <w:rsid w:val="5F7D16C2"/>
    <w:rsid w:val="5F892553"/>
    <w:rsid w:val="5FAB77AE"/>
    <w:rsid w:val="5FB301BB"/>
    <w:rsid w:val="600A6271"/>
    <w:rsid w:val="60357E4D"/>
    <w:rsid w:val="6046706E"/>
    <w:rsid w:val="60492B3E"/>
    <w:rsid w:val="60565E64"/>
    <w:rsid w:val="6089047C"/>
    <w:rsid w:val="608D4CE3"/>
    <w:rsid w:val="60A859A2"/>
    <w:rsid w:val="60AB29AA"/>
    <w:rsid w:val="60AC67BD"/>
    <w:rsid w:val="60C06489"/>
    <w:rsid w:val="60CE2A0E"/>
    <w:rsid w:val="61204933"/>
    <w:rsid w:val="612354B4"/>
    <w:rsid w:val="61351A56"/>
    <w:rsid w:val="613F62A8"/>
    <w:rsid w:val="61415F87"/>
    <w:rsid w:val="615A223E"/>
    <w:rsid w:val="615B47A6"/>
    <w:rsid w:val="616435A6"/>
    <w:rsid w:val="619940E6"/>
    <w:rsid w:val="61A6014E"/>
    <w:rsid w:val="61D63921"/>
    <w:rsid w:val="61DB724C"/>
    <w:rsid w:val="61F439C5"/>
    <w:rsid w:val="61F443E9"/>
    <w:rsid w:val="62213533"/>
    <w:rsid w:val="62270D05"/>
    <w:rsid w:val="62461BF2"/>
    <w:rsid w:val="62607426"/>
    <w:rsid w:val="62867444"/>
    <w:rsid w:val="629D7EE8"/>
    <w:rsid w:val="62C73A65"/>
    <w:rsid w:val="62D50998"/>
    <w:rsid w:val="62E7507D"/>
    <w:rsid w:val="62F67597"/>
    <w:rsid w:val="630C34D0"/>
    <w:rsid w:val="631E48B7"/>
    <w:rsid w:val="6322080B"/>
    <w:rsid w:val="635F6BBD"/>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433CD0"/>
    <w:rsid w:val="64495F72"/>
    <w:rsid w:val="644B25BC"/>
    <w:rsid w:val="647F6D16"/>
    <w:rsid w:val="6498217B"/>
    <w:rsid w:val="64987FF4"/>
    <w:rsid w:val="64D0513C"/>
    <w:rsid w:val="64EB1866"/>
    <w:rsid w:val="64F702F2"/>
    <w:rsid w:val="651424EE"/>
    <w:rsid w:val="65257BC1"/>
    <w:rsid w:val="65287A29"/>
    <w:rsid w:val="65537EF9"/>
    <w:rsid w:val="655E1155"/>
    <w:rsid w:val="655F4773"/>
    <w:rsid w:val="65636455"/>
    <w:rsid w:val="65A240BE"/>
    <w:rsid w:val="65A273A9"/>
    <w:rsid w:val="65AE5114"/>
    <w:rsid w:val="65B61DD9"/>
    <w:rsid w:val="65BB5075"/>
    <w:rsid w:val="65C76D0B"/>
    <w:rsid w:val="65CB5A52"/>
    <w:rsid w:val="65D23BC4"/>
    <w:rsid w:val="662861DC"/>
    <w:rsid w:val="66286B79"/>
    <w:rsid w:val="66306F43"/>
    <w:rsid w:val="66326E97"/>
    <w:rsid w:val="663F4723"/>
    <w:rsid w:val="664615E7"/>
    <w:rsid w:val="665265F4"/>
    <w:rsid w:val="66943E18"/>
    <w:rsid w:val="6699652A"/>
    <w:rsid w:val="66A93110"/>
    <w:rsid w:val="66AC664F"/>
    <w:rsid w:val="66AF2B2C"/>
    <w:rsid w:val="66F0190D"/>
    <w:rsid w:val="67064E16"/>
    <w:rsid w:val="672833FF"/>
    <w:rsid w:val="67447CAA"/>
    <w:rsid w:val="67603184"/>
    <w:rsid w:val="676569B0"/>
    <w:rsid w:val="676E53AF"/>
    <w:rsid w:val="6772565E"/>
    <w:rsid w:val="679C72E6"/>
    <w:rsid w:val="679D7D9D"/>
    <w:rsid w:val="67A16316"/>
    <w:rsid w:val="67B52945"/>
    <w:rsid w:val="67B84A87"/>
    <w:rsid w:val="67D5396B"/>
    <w:rsid w:val="67E24A58"/>
    <w:rsid w:val="67E967D4"/>
    <w:rsid w:val="67EA1DE2"/>
    <w:rsid w:val="67F51F5D"/>
    <w:rsid w:val="681C0F9C"/>
    <w:rsid w:val="68280A59"/>
    <w:rsid w:val="685448E5"/>
    <w:rsid w:val="68567ADB"/>
    <w:rsid w:val="685A52F7"/>
    <w:rsid w:val="686301D2"/>
    <w:rsid w:val="686F32ED"/>
    <w:rsid w:val="68763CFB"/>
    <w:rsid w:val="68775B46"/>
    <w:rsid w:val="68AB1911"/>
    <w:rsid w:val="68AC7864"/>
    <w:rsid w:val="68BD141F"/>
    <w:rsid w:val="68C2312F"/>
    <w:rsid w:val="68CC74D0"/>
    <w:rsid w:val="68DD058C"/>
    <w:rsid w:val="68E84B74"/>
    <w:rsid w:val="690300E6"/>
    <w:rsid w:val="691F004A"/>
    <w:rsid w:val="692563EE"/>
    <w:rsid w:val="692D6BB4"/>
    <w:rsid w:val="69456602"/>
    <w:rsid w:val="6965727E"/>
    <w:rsid w:val="69785369"/>
    <w:rsid w:val="69C62E9A"/>
    <w:rsid w:val="69D9569F"/>
    <w:rsid w:val="69F076EC"/>
    <w:rsid w:val="6A0C4C59"/>
    <w:rsid w:val="6A0C7811"/>
    <w:rsid w:val="6A0E77F1"/>
    <w:rsid w:val="6A3001E9"/>
    <w:rsid w:val="6A55161C"/>
    <w:rsid w:val="6A65568E"/>
    <w:rsid w:val="6A8213EE"/>
    <w:rsid w:val="6A9553FE"/>
    <w:rsid w:val="6AC30E38"/>
    <w:rsid w:val="6ADB66AC"/>
    <w:rsid w:val="6ADD74FD"/>
    <w:rsid w:val="6B3816B9"/>
    <w:rsid w:val="6B570F9E"/>
    <w:rsid w:val="6B704D44"/>
    <w:rsid w:val="6B7A4A17"/>
    <w:rsid w:val="6B7F1BF6"/>
    <w:rsid w:val="6B9512FD"/>
    <w:rsid w:val="6BB554FE"/>
    <w:rsid w:val="6BB87BB7"/>
    <w:rsid w:val="6BC12EDC"/>
    <w:rsid w:val="6BE255D8"/>
    <w:rsid w:val="6BE76A97"/>
    <w:rsid w:val="6BF056A3"/>
    <w:rsid w:val="6BF43FAF"/>
    <w:rsid w:val="6BFB78C8"/>
    <w:rsid w:val="6C1363EA"/>
    <w:rsid w:val="6C1F175D"/>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F437E"/>
    <w:rsid w:val="6D990245"/>
    <w:rsid w:val="6D997573"/>
    <w:rsid w:val="6DA026C8"/>
    <w:rsid w:val="6DB46943"/>
    <w:rsid w:val="6DC62455"/>
    <w:rsid w:val="6E035FBA"/>
    <w:rsid w:val="6E123F60"/>
    <w:rsid w:val="6E5231A4"/>
    <w:rsid w:val="6E5A40EE"/>
    <w:rsid w:val="6E671D27"/>
    <w:rsid w:val="6E7D48F4"/>
    <w:rsid w:val="6E9C16AF"/>
    <w:rsid w:val="6E9D390D"/>
    <w:rsid w:val="6EE10B05"/>
    <w:rsid w:val="6F0472BB"/>
    <w:rsid w:val="6F206808"/>
    <w:rsid w:val="6F537CC8"/>
    <w:rsid w:val="6F5B3B07"/>
    <w:rsid w:val="6F6000F3"/>
    <w:rsid w:val="6F7A7501"/>
    <w:rsid w:val="6FAB7D95"/>
    <w:rsid w:val="6FAD23B4"/>
    <w:rsid w:val="6FAD5E72"/>
    <w:rsid w:val="6FBD7D61"/>
    <w:rsid w:val="6FC42EAB"/>
    <w:rsid w:val="6FD101F3"/>
    <w:rsid w:val="6FE54985"/>
    <w:rsid w:val="6FEC7554"/>
    <w:rsid w:val="6FF1283A"/>
    <w:rsid w:val="70563262"/>
    <w:rsid w:val="705873A3"/>
    <w:rsid w:val="709910D5"/>
    <w:rsid w:val="70D216D3"/>
    <w:rsid w:val="71534AAE"/>
    <w:rsid w:val="716C54B9"/>
    <w:rsid w:val="717C638C"/>
    <w:rsid w:val="719B216D"/>
    <w:rsid w:val="71B752EE"/>
    <w:rsid w:val="71C66F16"/>
    <w:rsid w:val="71DB12A7"/>
    <w:rsid w:val="72106F1F"/>
    <w:rsid w:val="722D57C7"/>
    <w:rsid w:val="724062B5"/>
    <w:rsid w:val="724A0704"/>
    <w:rsid w:val="724F46F0"/>
    <w:rsid w:val="7255143F"/>
    <w:rsid w:val="726436E6"/>
    <w:rsid w:val="72700C83"/>
    <w:rsid w:val="727E6483"/>
    <w:rsid w:val="728453D5"/>
    <w:rsid w:val="72935827"/>
    <w:rsid w:val="729B79DD"/>
    <w:rsid w:val="72BB1BA7"/>
    <w:rsid w:val="72D051AC"/>
    <w:rsid w:val="72D05F60"/>
    <w:rsid w:val="72ED426C"/>
    <w:rsid w:val="72F91A90"/>
    <w:rsid w:val="731C314C"/>
    <w:rsid w:val="732927A3"/>
    <w:rsid w:val="734333B2"/>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A2880"/>
    <w:rsid w:val="75225CBF"/>
    <w:rsid w:val="75350693"/>
    <w:rsid w:val="7546677D"/>
    <w:rsid w:val="754B2AC0"/>
    <w:rsid w:val="754D466C"/>
    <w:rsid w:val="754F4CC4"/>
    <w:rsid w:val="756E0B0A"/>
    <w:rsid w:val="757031D9"/>
    <w:rsid w:val="75814167"/>
    <w:rsid w:val="75842DFC"/>
    <w:rsid w:val="75A667A1"/>
    <w:rsid w:val="75B9416A"/>
    <w:rsid w:val="75BE0722"/>
    <w:rsid w:val="75C247F2"/>
    <w:rsid w:val="75CD7BB5"/>
    <w:rsid w:val="76437D02"/>
    <w:rsid w:val="765120A6"/>
    <w:rsid w:val="767F05D4"/>
    <w:rsid w:val="76BF7D3D"/>
    <w:rsid w:val="76C52AEB"/>
    <w:rsid w:val="76D264D4"/>
    <w:rsid w:val="76E955C3"/>
    <w:rsid w:val="76FD43AC"/>
    <w:rsid w:val="77123ACC"/>
    <w:rsid w:val="77247924"/>
    <w:rsid w:val="772B1B20"/>
    <w:rsid w:val="77510935"/>
    <w:rsid w:val="77634F3B"/>
    <w:rsid w:val="77D36332"/>
    <w:rsid w:val="77D62A56"/>
    <w:rsid w:val="77E62733"/>
    <w:rsid w:val="77F84B71"/>
    <w:rsid w:val="780E1955"/>
    <w:rsid w:val="78293DC3"/>
    <w:rsid w:val="782D2D9B"/>
    <w:rsid w:val="783A6B2F"/>
    <w:rsid w:val="783F4F70"/>
    <w:rsid w:val="785B4C20"/>
    <w:rsid w:val="785D218D"/>
    <w:rsid w:val="78AB4E34"/>
    <w:rsid w:val="78B8567C"/>
    <w:rsid w:val="78F7615B"/>
    <w:rsid w:val="78FD2962"/>
    <w:rsid w:val="79307089"/>
    <w:rsid w:val="79373219"/>
    <w:rsid w:val="794A4288"/>
    <w:rsid w:val="794C7980"/>
    <w:rsid w:val="7954036F"/>
    <w:rsid w:val="7963139E"/>
    <w:rsid w:val="798B23A6"/>
    <w:rsid w:val="79A86542"/>
    <w:rsid w:val="79BE5E62"/>
    <w:rsid w:val="79D00261"/>
    <w:rsid w:val="79D72059"/>
    <w:rsid w:val="79EC33C3"/>
    <w:rsid w:val="7A1C1793"/>
    <w:rsid w:val="7A1C4DC7"/>
    <w:rsid w:val="7A3A078E"/>
    <w:rsid w:val="7A45124E"/>
    <w:rsid w:val="7A4C7BCA"/>
    <w:rsid w:val="7A7F307F"/>
    <w:rsid w:val="7A850292"/>
    <w:rsid w:val="7A864059"/>
    <w:rsid w:val="7A991285"/>
    <w:rsid w:val="7AAC03BC"/>
    <w:rsid w:val="7AB2157C"/>
    <w:rsid w:val="7AC179AB"/>
    <w:rsid w:val="7AC528C4"/>
    <w:rsid w:val="7ACE4545"/>
    <w:rsid w:val="7AE80992"/>
    <w:rsid w:val="7AE9752E"/>
    <w:rsid w:val="7AEC1055"/>
    <w:rsid w:val="7AF51135"/>
    <w:rsid w:val="7AFE078F"/>
    <w:rsid w:val="7B0320BB"/>
    <w:rsid w:val="7B1E76B6"/>
    <w:rsid w:val="7B5204F9"/>
    <w:rsid w:val="7B6E3852"/>
    <w:rsid w:val="7B745405"/>
    <w:rsid w:val="7BCD7043"/>
    <w:rsid w:val="7BDA2B39"/>
    <w:rsid w:val="7C274E7E"/>
    <w:rsid w:val="7C280E42"/>
    <w:rsid w:val="7C7F4F3C"/>
    <w:rsid w:val="7C9C55B4"/>
    <w:rsid w:val="7CA544A2"/>
    <w:rsid w:val="7CB347D7"/>
    <w:rsid w:val="7CCD67D7"/>
    <w:rsid w:val="7CE21673"/>
    <w:rsid w:val="7CE2570E"/>
    <w:rsid w:val="7CF45745"/>
    <w:rsid w:val="7D4033FD"/>
    <w:rsid w:val="7D4D5856"/>
    <w:rsid w:val="7D537A55"/>
    <w:rsid w:val="7D737A9C"/>
    <w:rsid w:val="7DAA16F6"/>
    <w:rsid w:val="7DE14EF9"/>
    <w:rsid w:val="7E183EEA"/>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2023-04-10T08:59:43Z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